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r>
              <w:rPr>
                <w:rFonts w:ascii="Arial" w:hAnsi="Arial"/>
                <w:b w:val="0"/>
                <w:sz w:val="20"/>
              </w:rPr>
              <w:t>08/10/2026</w:t>
            </w:r>
          </w:p>
        </w:tc>
      </w:tr>
      <w:tr w:rsidR="00604E29" w14:paraId="7A66939B" w14:textId="77777777">
        <w:tc>
          <w:tcPr>
            <w:tcW w:w="4695" w:type="dxa"/>
          </w:tcPr>
          <w:p w14:paraId="2D366549" w14:textId="77777777" w:rsidR="00604E29" w:rsidRDefault="00000000">
            <w:r>
              <w:t>Team ID</w:t>
            </w:r>
          </w:p>
        </w:tc>
        <w:tc>
          <w:tcPr>
            <w:tcW w:w="4335" w:type="dxa"/>
          </w:tcPr>
          <w:p>
            <w:r>
              <w:rPr>
                <w:rFonts w:ascii="Arial" w:hAnsi="Arial"/>
                <w:b w:val="0"/>
                <w:sz w:val="20"/>
              </w:rPr>
              <w:t>9100Orbit</w:t>
            </w:r>
          </w:p>
        </w:tc>
      </w:tr>
      <w:tr w:rsidR="00604E29" w14:paraId="0E84FB5D" w14:textId="77777777">
        <w:tc>
          <w:tcPr>
            <w:tcW w:w="4695" w:type="dxa"/>
          </w:tcPr>
          <w:p w14:paraId="4C398D34" w14:textId="77777777" w:rsidR="00604E29" w:rsidRDefault="00000000">
            <w:r>
              <w:t>Project Name</w:t>
            </w:r>
          </w:p>
        </w:tc>
        <w:tc>
          <w:tcPr>
            <w:tcW w:w="4335" w:type="dxa"/>
          </w:tcPr>
          <w:p>
            <w:r>
              <w:rPr>
                <w:rFonts w:ascii="Arial" w:hAnsi="Arial"/>
                <w:b w:val="0"/>
                <w:sz w:val="20"/>
              </w:rPr>
              <w:t>Implement Client Script and UI Policy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r>
              <w:rPr>
                <w:rFonts w:ascii="Arial" w:hAnsi="Arial"/>
                <w:b w:val="0"/>
                <w:sz w:val="20"/>
              </w:rPr>
              <w:t>1.</w:t>
            </w:r>
          </w:p>
        </w:tc>
        <w:tc>
          <w:tcPr>
            <w:tcW w:w="3658" w:type="dxa"/>
          </w:tcPr>
          <w:p>
            <w:r>
              <w:rPr>
                <w:rFonts w:ascii="Arial" w:hAnsi="Arial"/>
                <w:b/>
                <w:sz w:val="20"/>
              </w:rPr>
              <w:t>Problem Statement (Problem to be solved)</w:t>
            </w:r>
          </w:p>
        </w:tc>
        <w:tc>
          <w:tcPr>
            <w:tcW w:w="4508" w:type="dxa"/>
          </w:tcPr>
          <w:p>
            <w:r>
              <w:rPr>
                <w:rFonts w:ascii="Arial" w:hAnsi="Arial"/>
                <w:b w:val="0"/>
                <w:sz w:val="20"/>
              </w:rPr>
              <w:t>ServiceNow forms may require dynamic behaviour based on user actions and field values. Without suitable client-side controls, users can enter incomplete, unnecessary or invalid information, causing rework and reducing form usability.</w:t>
            </w:r>
          </w:p>
        </w:tc>
      </w:tr>
      <w:tr w:rsidR="00604E29" w14:paraId="6F005075" w14:textId="77777777">
        <w:trPr>
          <w:trHeight w:val="817"/>
        </w:trPr>
        <w:tc>
          <w:tcPr>
            <w:tcW w:w="901" w:type="dxa"/>
          </w:tcPr>
          <w:p>
            <w:r>
              <w:rPr>
                <w:rFonts w:ascii="Arial" w:hAnsi="Arial"/>
                <w:b w:val="0"/>
                <w:sz w:val="20"/>
              </w:rPr>
              <w:t>2.</w:t>
            </w:r>
          </w:p>
        </w:tc>
        <w:tc>
          <w:tcPr>
            <w:tcW w:w="3658" w:type="dxa"/>
          </w:tcPr>
          <w:p>
            <w:r>
              <w:rPr>
                <w:rFonts w:ascii="Arial" w:hAnsi="Arial"/>
                <w:b/>
                <w:sz w:val="20"/>
              </w:rPr>
              <w:t>Idea / Solution description</w:t>
            </w:r>
          </w:p>
        </w:tc>
        <w:tc>
          <w:tcPr>
            <w:tcW w:w="4508" w:type="dxa"/>
          </w:tcPr>
          <w:p>
            <w:r>
              <w:rPr>
                <w:rFonts w:ascii="Arial" w:hAnsi="Arial"/>
                <w:b w:val="0"/>
                <w:sz w:val="20"/>
              </w:rPr>
              <w:t>Implement ServiceNow Client Scripts and UI Policies to control form behaviour dynamically. Use onLoad, onChange and onSubmit Client Scripts together with UI Policies to manage field visibility, mandatory status and read-only status, and to validate user input before submission.</w:t>
            </w:r>
          </w:p>
        </w:tc>
      </w:tr>
      <w:tr w:rsidR="00604E29" w14:paraId="58329B4D" w14:textId="77777777">
        <w:trPr>
          <w:trHeight w:val="787"/>
        </w:trPr>
        <w:tc>
          <w:tcPr>
            <w:tcW w:w="901" w:type="dxa"/>
          </w:tcPr>
          <w:p>
            <w:r>
              <w:rPr>
                <w:rFonts w:ascii="Arial" w:hAnsi="Arial"/>
                <w:b w:val="0"/>
                <w:sz w:val="20"/>
              </w:rPr>
              <w:t>3.</w:t>
            </w:r>
          </w:p>
        </w:tc>
        <w:tc>
          <w:tcPr>
            <w:tcW w:w="3658" w:type="dxa"/>
          </w:tcPr>
          <w:p>
            <w:r>
              <w:rPr>
                <w:rFonts w:ascii="Arial" w:hAnsi="Arial"/>
                <w:b/>
                <w:sz w:val="20"/>
              </w:rPr>
              <w:t>Novelty / Uniqueness</w:t>
            </w:r>
          </w:p>
        </w:tc>
        <w:tc>
          <w:tcPr>
            <w:tcW w:w="4508" w:type="dxa"/>
          </w:tcPr>
          <w:p>
            <w:r>
              <w:rPr>
                <w:rFonts w:ascii="Arial" w:hAnsi="Arial"/>
                <w:b w:val="0"/>
                <w:sz w:val="20"/>
              </w:rPr>
              <w:t>The solution combines event-based Client Scripts with condition-driven UI Policies so the form responds immediately to user actions. This provides contextual guidance without requiring separate screens or manual checking for every condition.</w:t>
            </w:r>
          </w:p>
        </w:tc>
      </w:tr>
      <w:tr w:rsidR="00604E29" w14:paraId="3D9C92C5" w14:textId="77777777">
        <w:trPr>
          <w:trHeight w:val="817"/>
        </w:trPr>
        <w:tc>
          <w:tcPr>
            <w:tcW w:w="901" w:type="dxa"/>
          </w:tcPr>
          <w:p>
            <w:r>
              <w:rPr>
                <w:rFonts w:ascii="Arial" w:hAnsi="Arial"/>
                <w:b w:val="0"/>
                <w:sz w:val="20"/>
              </w:rPr>
              <w:t>4.</w:t>
            </w:r>
          </w:p>
        </w:tc>
        <w:tc>
          <w:tcPr>
            <w:tcW w:w="3658" w:type="dxa"/>
          </w:tcPr>
          <w:p>
            <w:r>
              <w:rPr>
                <w:rFonts w:ascii="Arial" w:hAnsi="Arial"/>
                <w:b/>
                <w:sz w:val="20"/>
              </w:rPr>
              <w:t>Social Impact / Customer Satisfaction</w:t>
            </w:r>
          </w:p>
        </w:tc>
        <w:tc>
          <w:tcPr>
            <w:tcW w:w="4508" w:type="dxa"/>
          </w:tcPr>
          <w:p>
            <w:r>
              <w:rPr>
                <w:rFonts w:ascii="Arial" w:hAnsi="Arial"/>
                <w:b w:val="0"/>
                <w:sz w:val="20"/>
              </w:rPr>
              <w:t>The solution improves the experience of employees and service agents by making forms clearer and easier to complete. Immediate feedback reduces repeated corrections, prevents avoidable input errors and supports consistent data entry.</w:t>
            </w:r>
          </w:p>
        </w:tc>
      </w:tr>
      <w:tr w:rsidR="00604E29" w14:paraId="67441115" w14:textId="77777777">
        <w:trPr>
          <w:trHeight w:val="817"/>
        </w:trPr>
        <w:tc>
          <w:tcPr>
            <w:tcW w:w="901" w:type="dxa"/>
          </w:tcPr>
          <w:p>
            <w:r>
              <w:rPr>
                <w:rFonts w:ascii="Arial" w:hAnsi="Arial"/>
                <w:b w:val="0"/>
                <w:sz w:val="20"/>
              </w:rPr>
              <w:t>5.</w:t>
            </w:r>
          </w:p>
        </w:tc>
        <w:tc>
          <w:tcPr>
            <w:tcW w:w="3658" w:type="dxa"/>
          </w:tcPr>
          <w:p>
            <w:r>
              <w:rPr>
                <w:rFonts w:ascii="Arial" w:hAnsi="Arial"/>
                <w:b/>
                <w:sz w:val="20"/>
              </w:rPr>
              <w:t>Business Model (Revenue Model)</w:t>
            </w:r>
          </w:p>
        </w:tc>
        <w:tc>
          <w:tcPr>
            <w:tcW w:w="4508" w:type="dxa"/>
          </w:tcPr>
          <w:p>
            <w:r>
              <w:rPr>
                <w:rFonts w:ascii="Arial" w:hAnsi="Arial"/>
                <w:b w:val="0"/>
                <w:sz w:val="20"/>
              </w:rPr>
              <w:t>The solution can be implemented as part of ServiceNow configuration and implementation services. Organizations can use it to improve internal workflows and reduce operational effort; value is realized through better data quality and reduced rework rather than a separate end-user charge.</w:t>
            </w:r>
          </w:p>
        </w:tc>
      </w:tr>
      <w:tr w:rsidR="00604E29" w14:paraId="2ECBCEA1" w14:textId="77777777">
        <w:trPr>
          <w:trHeight w:val="817"/>
        </w:trPr>
        <w:tc>
          <w:tcPr>
            <w:tcW w:w="901" w:type="dxa"/>
          </w:tcPr>
          <w:p>
            <w:r>
              <w:rPr>
                <w:rFonts w:ascii="Arial" w:hAnsi="Arial"/>
                <w:b w:val="0"/>
                <w:sz w:val="20"/>
              </w:rPr>
              <w:t>6.</w:t>
            </w:r>
          </w:p>
        </w:tc>
        <w:tc>
          <w:tcPr>
            <w:tcW w:w="3658" w:type="dxa"/>
          </w:tcPr>
          <w:p>
            <w:r>
              <w:rPr>
                <w:rFonts w:ascii="Arial" w:hAnsi="Arial"/>
                <w:b/>
                <w:sz w:val="20"/>
              </w:rPr>
              <w:t>Scalability of the Solution</w:t>
            </w:r>
          </w:p>
        </w:tc>
        <w:tc>
          <w:tcPr>
            <w:tcW w:w="4508" w:type="dxa"/>
          </w:tcPr>
          <w:p>
            <w:r>
              <w:rPr>
                <w:rFonts w:ascii="Arial" w:hAnsi="Arial"/>
                <w:b w:val="0"/>
                <w:sz w:val="20"/>
              </w:rPr>
              <w:t>The same approach can be extended across Incident, Request, Change, Problem and other ServiceNow forms. Additional Client Scripts and UI Policies can be introduced by business condition while keeping rules modular and maintainable.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