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>
            <w:r>
              <w:rPr>
                <w:rFonts w:ascii="Arial" w:hAnsi="Arial"/>
                <w:b w:val="0"/>
                <w:sz w:val="20"/>
              </w:rPr>
              <w:t>08/10/2026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>
            <w:r>
              <w:rPr>
                <w:rFonts w:ascii="Arial" w:hAnsi="Arial"/>
                <w:b w:val="0"/>
                <w:sz w:val="20"/>
              </w:rPr>
              <w:t>9100Orbit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>
            <w:r>
              <w:rPr>
                <w:rFonts w:ascii="Arial" w:hAnsi="Arial"/>
                <w:b w:val="0"/>
                <w:sz w:val="20"/>
              </w:rPr>
              <w:t>Implement Client Script and UI Policy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t>Solution Architecture Diagram: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t>Figure 1: Architecture and data flow of the ServiceNow Client Script and UI Policy solution</w:t>
      </w:r>
    </w:p>
    <w:p w14:paraId="4E909796" w14:textId="77777777" w:rsidR="00E370AF" w:rsidRDefault="00000000">
      <w:pPr>
        <w:rPr>
          <w:b/>
        </w:rPr>
      </w:pPr>
      <w:r>
        <w:t>Reference: Project-specific architecture prepared from the submitted template and project requirements.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>
      <w:pPr>
        <w:spacing w:after="160"/>
      </w:pPr>
      <w:r>
        <w:t>For this project, the architecture connects the ServiceNow user and form with UI Policies and Client Scripts. UI Policies control field visibility, mandatory status and read-only status, while Client Scripts handle onLoad, onChange and onSubmit behaviour and validation.</w: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