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7C939">
      <w:pPr>
        <w:spacing w:after="40"/>
        <w:jc w:val="center"/>
      </w:pPr>
      <w:r>
        <w:rPr>
          <w:b/>
          <w:bCs/>
          <w:color w:val="1B3A5C"/>
          <w:sz w:val="30"/>
          <w:szCs w:val="30"/>
        </w:rPr>
        <w:t>SIMATS ENGINEERING</w:t>
      </w:r>
    </w:p>
    <w:p w14:paraId="09CBE988">
      <w:pPr>
        <w:spacing w:after="200"/>
        <w:jc w:val="center"/>
      </w:pPr>
      <w:r>
        <w:rPr>
          <w:b/>
          <w:bCs/>
          <w:color w:val="2F6FA7"/>
          <w:sz w:val="24"/>
          <w:szCs w:val="24"/>
        </w:rPr>
        <w:t>ASSESSMENT TOOL 2 : SCENARIO-BASED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54"/>
        <w:gridCol w:w="3599"/>
        <w:gridCol w:w="1997"/>
      </w:tblGrid>
      <w:tr w14:paraId="7D6DA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DBE8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842F45">
            <w:r>
              <w:rPr>
                <w:b/>
                <w:bCs/>
                <w:color w:val="14212E"/>
                <w:sz w:val="20"/>
                <w:szCs w:val="20"/>
              </w:rPr>
              <w:t>COURSE NAME</w:t>
            </w:r>
          </w:p>
        </w:tc>
        <w:tc>
          <w:tcPr>
            <w:tcW w:w="45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7F029D">
            <w:r>
              <w:rPr>
                <w:b w:val="0"/>
                <w:bCs w:val="0"/>
                <w:color w:val="14212E"/>
                <w:sz w:val="20"/>
                <w:szCs w:val="20"/>
              </w:rPr>
              <w:t>Cloud Computing and Big Data Analytics</w:t>
            </w:r>
          </w:p>
        </w:tc>
        <w:tc>
          <w:tcPr>
            <w:tcW w:w="2400" w:type="dxa"/>
            <w:shd w:val="clear" w:color="auto" w:fill="DBE8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9FA23F">
            <w:r>
              <w:rPr>
                <w:b/>
                <w:bCs/>
                <w:color w:val="14212E"/>
                <w:sz w:val="20"/>
                <w:szCs w:val="20"/>
              </w:rPr>
              <w:t>COURSE CODE: CSA15</w:t>
            </w:r>
          </w:p>
        </w:tc>
      </w:tr>
      <w:tr w14:paraId="2F4DA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gridSpan w:val="3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E135A3">
            <w:r>
              <w:rPr>
                <w:b/>
                <w:bCs/>
                <w:color w:val="1B3A5C"/>
                <w:sz w:val="20"/>
                <w:szCs w:val="20"/>
              </w:rPr>
              <w:t>COURSE OUTCOME COVERED</w:t>
            </w:r>
          </w:p>
          <w:p w14:paraId="22A12F54">
            <w:pPr>
              <w:spacing w:before="40"/>
            </w:pPr>
            <w:r>
              <w:rPr>
                <w:color w:val="14212E"/>
                <w:sz w:val="20"/>
                <w:szCs w:val="20"/>
              </w:rPr>
              <w:t>CO2: Analyze virtualization architectures to identify performance and security issues in cloud computing environments. (BL3)</w:t>
            </w:r>
          </w:p>
        </w:tc>
      </w:tr>
      <w:tr w14:paraId="7E2F5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  <w:shd w:val="clear" w:color="auto" w:fill="DBE8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DDD7D2">
            <w:r>
              <w:rPr>
                <w:b/>
                <w:bCs/>
                <w:color w:val="14212E"/>
                <w:sz w:val="20"/>
                <w:szCs w:val="20"/>
              </w:rPr>
              <w:t>Bloom's Taxonomy: Manipulation (Level 2)</w:t>
            </w:r>
          </w:p>
        </w:tc>
        <w:tc>
          <w:tcPr>
            <w:tcW w:w="4675" w:type="dxa"/>
            <w:gridSpan w:val="2"/>
            <w:shd w:val="clear" w:color="auto" w:fill="DBE8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834B8B">
            <w:r>
              <w:rPr>
                <w:b/>
                <w:bCs/>
                <w:color w:val="14212E"/>
                <w:sz w:val="20"/>
                <w:szCs w:val="20"/>
              </w:rPr>
              <w:t>Question Count: 5      Total Marks: 25</w:t>
            </w:r>
          </w:p>
        </w:tc>
      </w:tr>
    </w:tbl>
    <w:p w14:paraId="4445FF1A">
      <w:pPr>
        <w:spacing w:before="200" w:after="100"/>
      </w:pPr>
      <w:r>
        <w:rPr>
          <w:b/>
          <w:bCs/>
          <w:color w:val="1B3A5C"/>
          <w:sz w:val="22"/>
          <w:szCs w:val="22"/>
        </w:rPr>
        <w:t>Code of Conduct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11847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shd w:val="clear" w:color="auto" w:fill="F2F6F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D8B42A2">
            <w:pPr>
              <w:spacing w:after="120"/>
            </w:pPr>
            <w:r>
              <w:rPr>
                <w:color w:val="14212E"/>
                <w:sz w:val="21"/>
                <w:szCs w:val="21"/>
              </w:rPr>
              <w:t xml:space="preserve">I </w:t>
            </w:r>
            <w:bookmarkStart w:id="0" w:name="_GoBack"/>
            <w:r>
              <w:rPr>
                <w:rFonts w:hint="default"/>
                <w:color w:val="14212E"/>
                <w:sz w:val="21"/>
                <w:szCs w:val="21"/>
                <w:u w:val="single"/>
                <w:lang w:val="en-US"/>
              </w:rPr>
              <w:t>KAVIYA VARSHINI P S M(192371007)</w:t>
            </w:r>
            <w:bookmarkEnd w:id="0"/>
            <w:r>
              <w:rPr>
                <w:rFonts w:hint="default"/>
                <w:color w:val="14212E"/>
                <w:sz w:val="21"/>
                <w:szCs w:val="21"/>
                <w:lang w:val="en-US"/>
              </w:rPr>
              <w:t xml:space="preserve"> </w:t>
            </w:r>
            <w:r>
              <w:rPr>
                <w:color w:val="14212E"/>
                <w:sz w:val="21"/>
                <w:szCs w:val="21"/>
              </w:rPr>
              <w:t>(Name / Reg No) certify that this submission is my original work and that I have adhered to the guidelines specified for this assessment.</w:t>
            </w:r>
          </w:p>
          <w:p w14:paraId="1DE0DAC0">
            <w:pPr>
              <w:spacing w:after="160"/>
            </w:pPr>
            <w:r>
              <w:rPr>
                <w:color w:val="14212E"/>
                <w:sz w:val="21"/>
                <w:szCs w:val="21"/>
              </w:rPr>
              <w:t>I understand that any violation of academic integrity rules will result in disciplinary action.</w:t>
            </w:r>
          </w:p>
          <w:p w14:paraId="2AE45BAA">
            <w:pPr>
              <w:rPr>
                <w:rFonts w:hint="default"/>
                <w:lang w:val="en-US"/>
              </w:rPr>
            </w:pPr>
            <w:r>
              <w:rPr>
                <w:b/>
                <w:bCs/>
                <w:color w:val="14212E"/>
                <w:sz w:val="21"/>
                <w:szCs w:val="21"/>
              </w:rPr>
              <w:t xml:space="preserve">Signature of the student: </w:t>
            </w:r>
            <w:r>
              <w:rPr>
                <w:rFonts w:hint="default"/>
                <w:b/>
                <w:bCs/>
                <w:color w:val="14212E"/>
                <w:sz w:val="21"/>
                <w:szCs w:val="21"/>
                <w:lang w:val="en-US"/>
              </w:rPr>
              <w:t>KAVIYA VARSHINI P S M</w:t>
            </w:r>
          </w:p>
        </w:tc>
      </w:tr>
    </w:tbl>
    <w:p w14:paraId="47928920">
      <w:r>
        <w:br w:type="page"/>
      </w:r>
    </w:p>
    <w:p w14:paraId="563A3559">
      <w:pPr>
        <w:pStyle w:val="2"/>
        <w:pBdr>
          <w:bottom w:val="single" w:color="1B3A5C" w:sz="6" w:space="4"/>
        </w:pBdr>
        <w:spacing w:before="260" w:after="140"/>
      </w:pPr>
      <w:r>
        <w:rPr>
          <w:b/>
          <w:bCs/>
          <w:color w:val="1B3A5C"/>
          <w:sz w:val="27"/>
          <w:szCs w:val="27"/>
        </w:rPr>
        <w:t>Question 1: Cloud Architecture for a Video Streaming Platform</w:t>
      </w:r>
    </w:p>
    <w:p w14:paraId="3AF9DD05">
      <w:pPr>
        <w:spacing w:after="100"/>
      </w:pPr>
      <w:r>
        <w:rPr>
          <w:i/>
          <w:iCs/>
          <w:color w:val="14212E"/>
          <w:sz w:val="21"/>
          <w:szCs w:val="21"/>
        </w:rPr>
        <w:t>Scenario: A media company wants to migrate its video streaming platform to the cloud. The system must handle millions of concurrent users with minimal buffering.</w:t>
      </w:r>
    </w:p>
    <w:p w14:paraId="245DF184">
      <w:pPr>
        <w:spacing w:after="120"/>
        <w:jc w:val="right"/>
      </w:pPr>
      <w:r>
        <w:rPr>
          <w:i/>
          <w:iCs/>
          <w:color w:val="5B6B78"/>
          <w:sz w:val="19"/>
          <w:szCs w:val="19"/>
        </w:rPr>
        <w:t>[Marks: 5]</w:t>
      </w:r>
    </w:p>
    <w:p w14:paraId="5C95B817">
      <w:pPr>
        <w:spacing w:before="200" w:after="90"/>
      </w:pPr>
      <w:r>
        <w:rPr>
          <w:b/>
          <w:bCs/>
          <w:color w:val="2F6FA7"/>
          <w:sz w:val="23"/>
          <w:szCs w:val="23"/>
        </w:rPr>
        <w:t>(a) Cloud Architecture Using Scalability and Caching Techniques</w:t>
      </w:r>
    </w:p>
    <w:p w14:paraId="30A7085D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Global DNS / GeoDNS routes each user to the nearest healthy region, minimising latency at the very first hop.</w:t>
      </w:r>
    </w:p>
    <w:p w14:paraId="5BFD41DA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A Content Delivery Network (CDN) with edge Points of Presence (PoPs) caches popular video segments (using adaptive bitrate formats such as HLS/DASH) close to the viewer, so repeat requests never touch the origin.</w:t>
      </w:r>
    </w:p>
    <w:p w14:paraId="48A79A9C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Video is pre-transcoded into multiple bitrate/resolution renditions and stored in object storage (e.g., Amazon S3), acting as the durable origin for the CDN.</w:t>
      </w:r>
    </w:p>
    <w:p w14:paraId="6B84D473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An in-memory cache (e.g., Redis/Memcached) stores frequently accessed metadata such as titles, thumbnails, and recommendations, cutting database load.</w:t>
      </w:r>
    </w:p>
    <w:p w14:paraId="3B324AC4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Microservices (catalog, playback authorization, recommendation, billing) are containerised and independently scalable, avoiding a single monolithic bottleneck.</w:t>
      </w:r>
    </w:p>
    <w:p w14:paraId="118CD8E5">
      <w:pPr>
        <w:spacing w:before="200" w:after="90"/>
      </w:pPr>
      <w:r>
        <w:rPr>
          <w:b/>
          <w:bCs/>
          <w:color w:val="2F6FA7"/>
          <w:sz w:val="23"/>
          <w:szCs w:val="23"/>
        </w:rPr>
        <w:t>(b) Role of Load Balancing and Auto-Scaling in Smooth Streaming</w:t>
      </w:r>
    </w:p>
    <w:p w14:paraId="15DF487B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A Layer-7 load balancer distributes incoming playback/API requests evenly across a fleet of streaming servers, preventing any single node from being overwhelmed during peak hours (e.g., a new episode release).</w:t>
      </w:r>
    </w:p>
    <w:p w14:paraId="2D00CBC1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Health checks performed by the load balancer automatically remove unhealthy instances from rotation, so users are never routed to a failed server.</w:t>
      </w:r>
    </w:p>
    <w:p w14:paraId="145DBB93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Auto-scaling groups monitor real-time metrics (CPU, network throughput, active connections) and add new streaming/transcoding instances within minutes when a viewership spike is detected, then scale back down afterward.</w:t>
      </w:r>
    </w:p>
    <w:p w14:paraId="54A6B93C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Combined with CDN caching, load balancing ensures that only a small fraction of requests reach origin servers, so buffering stays minimal even under millions of concurrent sessions.</w:t>
      </w:r>
    </w:p>
    <w:p w14:paraId="3133623C">
      <w:pPr>
        <w:spacing w:before="200" w:after="90"/>
      </w:pPr>
      <w:r>
        <w:rPr>
          <w:b/>
          <w:bCs/>
          <w:color w:val="2F6FA7"/>
          <w:sz w:val="23"/>
          <w:szCs w:val="23"/>
        </w:rPr>
        <w:t>(c) Cost Optimization Strategies for High-Demand Workloads</w:t>
      </w:r>
    </w:p>
    <w:p w14:paraId="032C1088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Use Reserved/Committed-use instances for predictable baseline traffic and Spot/low-priority instances for elastic transcoding workloads, since transcoding jobs can tolerate interruption.</w:t>
      </w:r>
    </w:p>
    <w:p w14:paraId="73BCE0AF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Apply storage tiering: keep newly released, high-demand content on standard storage and move older, rarely watched content to cold/infrequent-access tiers.</w:t>
      </w:r>
    </w:p>
    <w:p w14:paraId="63B2CF08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Cache aggressively at the CDN edge to reduce expensive data-egress and origin compute charges.</w:t>
      </w:r>
    </w:p>
    <w:p w14:paraId="3866AC70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Use auto-scaling with scheduled scale-down during predictable low-traffic hours, and set budgets/alerts to catch cost anomalies early.</w:t>
      </w:r>
    </w:p>
    <w:p w14:paraId="6F1540F7">
      <w:pPr>
        <w:spacing w:before="160" w:after="60"/>
        <w:jc w:val="center"/>
      </w:pPr>
      <w:r>
        <w:drawing>
          <wp:inline distT="0" distB="0" distL="0" distR="0">
            <wp:extent cx="5334000" cy="3190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4B51">
      <w:pPr>
        <w:spacing w:after="220"/>
        <w:jc w:val="center"/>
      </w:pPr>
      <w:r>
        <w:rPr>
          <w:i/>
          <w:iCs/>
          <w:color w:val="5B6B78"/>
          <w:sz w:val="18"/>
          <w:szCs w:val="18"/>
        </w:rPr>
        <w:t>Fig 1.1 – Scalable, cached cloud architecture for the video streaming platform</w:t>
      </w:r>
    </w:p>
    <w:p w14:paraId="7E9273CD">
      <w:pPr>
        <w:pStyle w:val="2"/>
        <w:pBdr>
          <w:bottom w:val="single" w:color="1B3A5C" w:sz="6" w:space="4"/>
        </w:pBdr>
        <w:spacing w:before="260" w:after="140"/>
      </w:pPr>
      <w:r>
        <w:rPr>
          <w:b/>
          <w:bCs/>
          <w:color w:val="1B3A5C"/>
          <w:sz w:val="27"/>
          <w:szCs w:val="27"/>
        </w:rPr>
        <w:t>Question 2: Multi-Cloud Container Orchestration for a Fintech Startup</w:t>
      </w:r>
    </w:p>
    <w:p w14:paraId="345EECBE">
      <w:pPr>
        <w:spacing w:after="100"/>
      </w:pPr>
      <w:r>
        <w:rPr>
          <w:i/>
          <w:iCs/>
          <w:color w:val="14212E"/>
          <w:sz w:val="21"/>
          <w:szCs w:val="21"/>
        </w:rPr>
        <w:t>Scenario: A fintech startup is deploying applications using containers across multiple cloud providers and faces challenges in maintaining consistency and managing deployments.</w:t>
      </w:r>
    </w:p>
    <w:p w14:paraId="06C477CA">
      <w:pPr>
        <w:spacing w:after="120"/>
        <w:jc w:val="right"/>
      </w:pPr>
      <w:r>
        <w:rPr>
          <w:i/>
          <w:iCs/>
          <w:color w:val="5B6B78"/>
          <w:sz w:val="19"/>
          <w:szCs w:val="19"/>
        </w:rPr>
        <w:t>[Marks: 5]</w:t>
      </w:r>
    </w:p>
    <w:p w14:paraId="524734FE">
      <w:pPr>
        <w:spacing w:before="200" w:after="90"/>
      </w:pPr>
      <w:r>
        <w:rPr>
          <w:b/>
          <w:bCs/>
          <w:color w:val="2F6FA7"/>
          <w:sz w:val="23"/>
          <w:szCs w:val="23"/>
        </w:rPr>
        <w:t>(a) Container Orchestration and Multi-Cloud Strategy</w:t>
      </w:r>
    </w:p>
    <w:p w14:paraId="334636FC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Package every service as a Docker container and store versioned images in a central container registry, ensuring the exact same artifact is deployed everywhere.</w:t>
      </w:r>
    </w:p>
    <w:p w14:paraId="03A7C538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Use Kubernetes as the common orchestration layer on each provider (Amazon EKS, Azure AKS, Google GKE), so deployment manifests (YAML) remain identical across clouds.</w:t>
      </w:r>
    </w:p>
    <w:p w14:paraId="29648240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Adopt Infrastructure-as-Code (Terraform) and GitOps (e.g., ArgoCD/Flux) so cluster configuration and application state are version-controlled and applied consistently to all clouds.</w:t>
      </w:r>
    </w:p>
    <w:p w14:paraId="311FF38C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A CI/CD pipeline builds, tests, and pushes images once, then triggers synchronized rollouts to every cloud cluster, removing manual, provider-specific deployment steps.</w:t>
      </w:r>
    </w:p>
    <w:p w14:paraId="46E6E497">
      <w:pPr>
        <w:spacing w:before="200" w:after="90"/>
      </w:pPr>
      <w:r>
        <w:rPr>
          <w:b/>
          <w:bCs/>
          <w:color w:val="2F6FA7"/>
          <w:sz w:val="23"/>
          <w:szCs w:val="23"/>
        </w:rPr>
        <w:t>(b) Handling Service Discovery and Scaling</w:t>
      </w:r>
    </w:p>
    <w:p w14:paraId="7DB7F201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A service mesh (e.g., Istio/Linkerd) spanning clusters provides consistent service discovery, mutual TLS, and traffic routing regardless of which cloud a service instance runs on.</w:t>
      </w:r>
    </w:p>
    <w:p w14:paraId="0555951B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Kubernetes' internal DNS resolves service names to pod IPs within a cluster; a global/multi-cluster service registry extends this resolution across cloud boundaries.</w:t>
      </w:r>
    </w:p>
    <w:p w14:paraId="69B27A40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Horizontal Pod Autoscalers (HPA) scale pods per cluster based on CPU/memory/custom metrics (e.g., transaction rate), while the mesh's global load balancer shifts traffic toward the least-loaded or nearest cloud region.</w:t>
      </w:r>
    </w:p>
    <w:p w14:paraId="5EBE56A3">
      <w:pPr>
        <w:spacing w:before="200" w:after="90"/>
      </w:pPr>
      <w:r>
        <w:rPr>
          <w:b/>
          <w:bCs/>
          <w:color w:val="2F6FA7"/>
          <w:sz w:val="23"/>
          <w:szCs w:val="23"/>
        </w:rPr>
        <w:t>(c) Benefits and Risks of Multi-Cloud Deployment</w:t>
      </w:r>
    </w:p>
    <w:p w14:paraId="5EE600FD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Benefits: avoids vendor lock-in, improves resilience (one provider's outage does not take the platform down), and enables choosing the most cost-effective or compliant provider per workload — important for regulated fintech data.</w:t>
      </w:r>
    </w:p>
    <w:p w14:paraId="57A99801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Risks: increased operational complexity, inconsistent native services between providers, higher networking/data-transfer cost, and a larger security surface that requires unified identity and monitoring across all clouds.</w:t>
      </w:r>
    </w:p>
    <w:p w14:paraId="0CD2C178">
      <w:pPr>
        <w:spacing w:before="160" w:after="60"/>
        <w:jc w:val="center"/>
      </w:pPr>
      <w:r>
        <w:drawing>
          <wp:inline distT="0" distB="0" distL="0" distR="0">
            <wp:extent cx="5334000" cy="3095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F12C">
      <w:pPr>
        <w:spacing w:after="220"/>
        <w:jc w:val="center"/>
      </w:pPr>
      <w:r>
        <w:rPr>
          <w:i/>
          <w:iCs/>
          <w:color w:val="5B6B78"/>
          <w:sz w:val="18"/>
          <w:szCs w:val="18"/>
        </w:rPr>
        <w:t>Fig 2.1 – Multi-cloud Kubernetes deployment with shared registry and service mesh</w:t>
      </w:r>
    </w:p>
    <w:p w14:paraId="3B432A96">
      <w:pPr>
        <w:pStyle w:val="2"/>
        <w:pBdr>
          <w:bottom w:val="single" w:color="1B3A5C" w:sz="6" w:space="4"/>
        </w:pBdr>
        <w:spacing w:before="260" w:after="140"/>
      </w:pPr>
      <w:r>
        <w:rPr>
          <w:b/>
          <w:bCs/>
          <w:color w:val="1B3A5C"/>
          <w:sz w:val="27"/>
          <w:szCs w:val="27"/>
        </w:rPr>
        <w:t>Question 3: Backup and Disaster Recovery for an E-Learning Platform</w:t>
      </w:r>
    </w:p>
    <w:p w14:paraId="0FD9F809">
      <w:pPr>
        <w:spacing w:after="100"/>
      </w:pPr>
      <w:r>
        <w:rPr>
          <w:i/>
          <w:iCs/>
          <w:color w:val="14212E"/>
          <w:sz w:val="21"/>
          <w:szCs w:val="21"/>
        </w:rPr>
        <w:t>Scenario: An e-learning platform experiences data loss due to accidental deletion in the cloud and needs a robust backup and disaster recovery strategy.</w:t>
      </w:r>
    </w:p>
    <w:p w14:paraId="0A76AA37">
      <w:pPr>
        <w:spacing w:after="120"/>
        <w:jc w:val="right"/>
      </w:pPr>
      <w:r>
        <w:rPr>
          <w:i/>
          <w:iCs/>
          <w:color w:val="5B6B78"/>
          <w:sz w:val="19"/>
          <w:szCs w:val="19"/>
        </w:rPr>
        <w:t>[Marks: 5]</w:t>
      </w:r>
    </w:p>
    <w:p w14:paraId="6FD3EE56">
      <w:pPr>
        <w:spacing w:before="200" w:after="90"/>
      </w:pPr>
      <w:r>
        <w:rPr>
          <w:b/>
          <w:bCs/>
          <w:color w:val="2F6FA7"/>
          <w:sz w:val="23"/>
          <w:szCs w:val="23"/>
        </w:rPr>
        <w:t>(a) Backup, Replication, and Versioning Design</w:t>
      </w:r>
    </w:p>
    <w:p w14:paraId="4B1C9403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Enable object versioning on cloud storage so every overwrite or delete creates a recoverable prior version instead of destroying data permanently.</w:t>
      </w:r>
    </w:p>
    <w:p w14:paraId="7CC551B7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Schedule automated, incremental snapshots of databases (hourly) and full backups (daily), stored separately from production to protect against accidental or malicious deletion.</w:t>
      </w:r>
    </w:p>
    <w:p w14:paraId="5D74BB44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Configure cross-region replication so a live copy of course content, videos, and student records exists in a geographically distant secondary region.</w:t>
      </w:r>
    </w:p>
    <w:p w14:paraId="60BF4A26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Store long-term backups in a write-once-read-many (WORM) or immutable backup vault so even an administrator cannot delete backups before their retention period expires.</w:t>
      </w:r>
    </w:p>
    <w:p w14:paraId="5B379C50">
      <w:pPr>
        <w:spacing w:before="200" w:after="90"/>
      </w:pPr>
      <w:r>
        <w:rPr>
          <w:b/>
          <w:bCs/>
          <w:color w:val="2F6FA7"/>
          <w:sz w:val="23"/>
          <w:szCs w:val="23"/>
        </w:rPr>
        <w:t>(b) Achieving Recovery Time Objective (RTO) and Recovery Point Objective (RPO)</w:t>
      </w:r>
    </w:p>
    <w:p w14:paraId="64E10983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RPO (maximum tolerable data loss) is achieved by tuning replication/snapshot frequency — e.g., near-continuous replication yields an RPO of seconds to minutes, while daily backups yield an RPO of up to 24 hours.</w:t>
      </w:r>
    </w:p>
    <w:p w14:paraId="75D9D346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RTO (maximum tolerable downtime) is achieved through automated recovery runbooks/scripts that spin up a standby environment or restore from the replica automatically, rather than relying on manual intervention.</w:t>
      </w:r>
    </w:p>
    <w:p w14:paraId="4E93CD6A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Regular disaster-recovery drills validate that the actual restore time and data currency meet the promised RTO/RPO targets.</w:t>
      </w:r>
    </w:p>
    <w:p w14:paraId="3EF420DA">
      <w:pPr>
        <w:spacing w:before="200" w:after="90"/>
      </w:pPr>
      <w:r>
        <w:rPr>
          <w:b/>
          <w:bCs/>
          <w:color w:val="2F6FA7"/>
          <w:sz w:val="23"/>
          <w:szCs w:val="23"/>
        </w:rPr>
        <w:t>(c) Steps to Ensure Business Continuity During Failures</w:t>
      </w:r>
    </w:p>
    <w:p w14:paraId="0AE17947">
      <w:pPr>
        <w:pStyle w:val="16"/>
        <w:numPr>
          <w:ilvl w:val="1"/>
          <w:numId w:val="1"/>
        </w:numPr>
        <w:spacing w:after="60"/>
      </w:pPr>
      <w:r>
        <w:rPr>
          <w:color w:val="14212E"/>
          <w:sz w:val="21"/>
          <w:szCs w:val="21"/>
        </w:rPr>
        <w:t>1. Detect the incident via monitoring/alerting (e.g., unexpected deletion event or region outage).</w:t>
      </w:r>
    </w:p>
    <w:p w14:paraId="45EAEC7D">
      <w:pPr>
        <w:pStyle w:val="16"/>
        <w:numPr>
          <w:ilvl w:val="1"/>
          <w:numId w:val="1"/>
        </w:numPr>
        <w:spacing w:after="60"/>
      </w:pPr>
      <w:r>
        <w:rPr>
          <w:color w:val="14212E"/>
          <w:sz w:val="21"/>
          <w:szCs w:val="21"/>
        </w:rPr>
        <w:t>2. Isolate the affected resource to prevent the failure from propagating further.</w:t>
      </w:r>
    </w:p>
    <w:p w14:paraId="778B1169">
      <w:pPr>
        <w:pStyle w:val="16"/>
        <w:numPr>
          <w:ilvl w:val="1"/>
          <w:numId w:val="1"/>
        </w:numPr>
        <w:spacing w:after="60"/>
      </w:pPr>
      <w:r>
        <w:rPr>
          <w:color w:val="14212E"/>
          <w:sz w:val="21"/>
          <w:szCs w:val="21"/>
        </w:rPr>
        <w:t>3. Trigger the automated recovery runbook to restore from the latest valid snapshot/replica.</w:t>
      </w:r>
    </w:p>
    <w:p w14:paraId="4B508BD4">
      <w:pPr>
        <w:pStyle w:val="16"/>
        <w:numPr>
          <w:ilvl w:val="1"/>
          <w:numId w:val="1"/>
        </w:numPr>
        <w:spacing w:after="60"/>
      </w:pPr>
      <w:r>
        <w:rPr>
          <w:color w:val="14212E"/>
          <w:sz w:val="21"/>
          <w:szCs w:val="21"/>
        </w:rPr>
        <w:t>4. Redirect user traffic (DNS/load balancer) to the recovered or standby environment.</w:t>
      </w:r>
    </w:p>
    <w:p w14:paraId="1F842791">
      <w:pPr>
        <w:pStyle w:val="16"/>
        <w:numPr>
          <w:ilvl w:val="1"/>
          <w:numId w:val="1"/>
        </w:numPr>
        <w:spacing w:after="60"/>
      </w:pPr>
      <w:r>
        <w:rPr>
          <w:color w:val="14212E"/>
          <w:sz w:val="21"/>
          <w:szCs w:val="21"/>
        </w:rPr>
        <w:t>5. Verify data integrity and conduct a post-incident review to refine backup policies.</w:t>
      </w:r>
    </w:p>
    <w:p w14:paraId="4954C671">
      <w:pPr>
        <w:spacing w:before="160" w:after="60"/>
        <w:jc w:val="center"/>
      </w:pPr>
      <w:r>
        <w:drawing>
          <wp:inline distT="0" distB="0" distL="0" distR="0">
            <wp:extent cx="5334000" cy="31908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ADF0">
      <w:pPr>
        <w:spacing w:after="220"/>
        <w:jc w:val="center"/>
      </w:pPr>
      <w:r>
        <w:rPr>
          <w:i/>
          <w:iCs/>
          <w:color w:val="5B6B78"/>
          <w:sz w:val="18"/>
          <w:szCs w:val="18"/>
        </w:rPr>
        <w:t>Fig 3.1 – Backup, replication, and disaster-recovery workflow with RTO/RPO checkpoints</w:t>
      </w:r>
    </w:p>
    <w:p w14:paraId="1BD95B42">
      <w:pPr>
        <w:pStyle w:val="2"/>
        <w:pBdr>
          <w:bottom w:val="single" w:color="1B3A5C" w:sz="6" w:space="4"/>
        </w:pBdr>
        <w:spacing w:before="260" w:after="140"/>
      </w:pPr>
      <w:r>
        <w:rPr>
          <w:b/>
          <w:bCs/>
          <w:color w:val="1B3A5C"/>
          <w:sz w:val="27"/>
          <w:szCs w:val="27"/>
        </w:rPr>
        <w:t>Question 4: Hybrid Cloud Model for a Government Agency</w:t>
      </w:r>
    </w:p>
    <w:p w14:paraId="7F1FC6E8">
      <w:pPr>
        <w:spacing w:after="100"/>
      </w:pPr>
      <w:r>
        <w:rPr>
          <w:i/>
          <w:iCs/>
          <w:color w:val="14212E"/>
          <w:sz w:val="21"/>
          <w:szCs w:val="21"/>
        </w:rPr>
        <w:t>Scenario: A government agency is adopting a hybrid cloud model for sensitive and non-sensitive data, with some applications required to remain on-premises due to compliance.</w:t>
      </w:r>
    </w:p>
    <w:p w14:paraId="0C9E71E4">
      <w:pPr>
        <w:spacing w:after="120"/>
        <w:jc w:val="right"/>
      </w:pPr>
      <w:r>
        <w:rPr>
          <w:i/>
          <w:iCs/>
          <w:color w:val="5B6B78"/>
          <w:sz w:val="19"/>
          <w:szCs w:val="19"/>
        </w:rPr>
        <w:t>[Marks: 5]</w:t>
      </w:r>
    </w:p>
    <w:p w14:paraId="7F20E178">
      <w:pPr>
        <w:spacing w:before="200" w:after="90"/>
      </w:pPr>
      <w:r>
        <w:rPr>
          <w:b/>
          <w:bCs/>
          <w:color w:val="2F6FA7"/>
          <w:sz w:val="23"/>
          <w:szCs w:val="23"/>
        </w:rPr>
        <w:t>(a) Hybrid Architecture for Secure Communication</w:t>
      </w:r>
    </w:p>
    <w:p w14:paraId="4D6AFD78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Keep compliance-bound applications and sensitive citizen data on-premises, inside the agency's own data centre, satisfying data-residency and regulatory requirements.</w:t>
      </w:r>
    </w:p>
    <w:p w14:paraId="20471723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Deploy non-sensitive, publicly facing, or highly scalable workloads (citizen portals, information services) in the public cloud, where elasticity is more cost-effective.</w:t>
      </w:r>
    </w:p>
    <w:p w14:paraId="4F4CC284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Connect the two environments through a dedicated, encrypted link — a site-to-site VPN or a private connection such as AWS Direct Connect/Azure ExpressRoute — instead of routing traffic over the public internet.</w:t>
      </w:r>
    </w:p>
    <w:p w14:paraId="443708BF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Segment networks with firewalls and private subnets on both sides so only explicitly permitted traffic can cross between on-premises and cloud.</w:t>
      </w:r>
    </w:p>
    <w:p w14:paraId="5AD1915A">
      <w:pPr>
        <w:spacing w:before="200" w:after="90"/>
      </w:pPr>
      <w:r>
        <w:rPr>
          <w:b/>
          <w:bCs/>
          <w:color w:val="2F6FA7"/>
          <w:sz w:val="23"/>
          <w:szCs w:val="23"/>
        </w:rPr>
        <w:t>(b) Identity Management and Encryption</w:t>
      </w:r>
    </w:p>
    <w:p w14:paraId="03FDFB71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Use a federated identity model: the on-premises Identity Provider (e.g., Active Directory) is linked to the cloud's IAM/SSO via SAML or OAuth/OpenID Connect, giving one unified identity across both environments.</w:t>
      </w:r>
    </w:p>
    <w:p w14:paraId="08A16928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Apply role-based access control (RBAC) and the principle of least privilege so cloud services can only access the specific on-premises resources they need, and vice versa.</w:t>
      </w:r>
    </w:p>
    <w:p w14:paraId="0F1D1696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Encrypt data in transit (TLS/IPSec over the VPN tunnel) and at rest (cloud KMS-managed keys, on-prem disk/database encryption), with keys rotated and access-logged for audit.</w:t>
      </w:r>
    </w:p>
    <w:p w14:paraId="61CD5F3C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Enable multi-factor authentication (MFA) for all administrative access, especially to systems handling sensitive citizen data.</w:t>
      </w:r>
    </w:p>
    <w:p w14:paraId="3A0CEDFA">
      <w:pPr>
        <w:spacing w:before="200" w:after="90"/>
      </w:pPr>
      <w:r>
        <w:rPr>
          <w:b/>
          <w:bCs/>
          <w:color w:val="2F6FA7"/>
          <w:sz w:val="23"/>
          <w:szCs w:val="23"/>
        </w:rPr>
        <w:t>(c) Challenges in Managing Hybrid Cloud Environments</w:t>
      </w:r>
    </w:p>
    <w:p w14:paraId="48E2DD1E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Maintaining consistent security policy and monitoring across two fundamentally different environments (on-prem tools vs. cloud-native tools).</w:t>
      </w:r>
    </w:p>
    <w:p w14:paraId="62848821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Network latency and bandwidth costs on the interconnect link, especially for data-heavy workloads.</w:t>
      </w:r>
    </w:p>
    <w:p w14:paraId="4272B0A2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Ensuring identity, access, and audit logs stay synchronized so a single unified view of 'who accessed what' is available for compliance reporting.</w:t>
      </w:r>
    </w:p>
    <w:p w14:paraId="39201E21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Skill gaps — teams need expertise in both traditional on-prem infrastructure and modern cloud platforms.</w:t>
      </w:r>
    </w:p>
    <w:p w14:paraId="3D41688D">
      <w:pPr>
        <w:spacing w:before="160" w:after="60"/>
        <w:jc w:val="center"/>
      </w:pPr>
      <w:r>
        <w:drawing>
          <wp:inline distT="0" distB="0" distL="0" distR="0">
            <wp:extent cx="5334000" cy="31908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DE09">
      <w:pPr>
        <w:spacing w:after="220"/>
        <w:jc w:val="center"/>
      </w:pPr>
      <w:r>
        <w:rPr>
          <w:i/>
          <w:iCs/>
          <w:color w:val="5B6B78"/>
          <w:sz w:val="18"/>
          <w:szCs w:val="18"/>
        </w:rPr>
        <w:t>Fig 4.1 – Hybrid cloud architecture separating sensitive on-premises workloads from public-cloud workloads</w:t>
      </w:r>
    </w:p>
    <w:p w14:paraId="215FF546">
      <w:pPr>
        <w:pStyle w:val="2"/>
        <w:pBdr>
          <w:bottom w:val="single" w:color="1B3A5C" w:sz="6" w:space="4"/>
        </w:pBdr>
        <w:spacing w:before="260" w:after="140"/>
      </w:pPr>
      <w:r>
        <w:rPr>
          <w:b/>
          <w:bCs/>
          <w:color w:val="1B3A5C"/>
          <w:sz w:val="27"/>
          <w:szCs w:val="27"/>
        </w:rPr>
        <w:t>Question 5: High Availability and Fault Tolerance for a SaaS Application</w:t>
      </w:r>
    </w:p>
    <w:p w14:paraId="0ADDE32D">
      <w:pPr>
        <w:spacing w:after="100"/>
      </w:pPr>
      <w:r>
        <w:rPr>
          <w:i/>
          <w:iCs/>
          <w:color w:val="14212E"/>
          <w:sz w:val="21"/>
          <w:szCs w:val="21"/>
        </w:rPr>
        <w:t>Scenario: A SaaS provider needs high availability and fault tolerance so the application keeps operating even if one region goes down.</w:t>
      </w:r>
    </w:p>
    <w:p w14:paraId="0025AE39">
      <w:pPr>
        <w:spacing w:after="120"/>
        <w:jc w:val="right"/>
      </w:pPr>
      <w:r>
        <w:rPr>
          <w:i/>
          <w:iCs/>
          <w:color w:val="5B6B78"/>
          <w:sz w:val="19"/>
          <w:szCs w:val="19"/>
        </w:rPr>
        <w:t>[Marks: 5]</w:t>
      </w:r>
    </w:p>
    <w:p w14:paraId="06270119">
      <w:pPr>
        <w:spacing w:before="200" w:after="90"/>
      </w:pPr>
      <w:r>
        <w:rPr>
          <w:b/>
          <w:bCs/>
          <w:color w:val="2F6FA7"/>
          <w:sz w:val="23"/>
          <w:szCs w:val="23"/>
        </w:rPr>
        <w:t>(a) Multi-Region Deployment Strategy</w:t>
      </w:r>
    </w:p>
    <w:p w14:paraId="30E06B5D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Deploy the application stack (app servers, databases, caches) identically in at least two geographically separate cloud regions — an active region serving live traffic and a second active or standby region ready to take over.</w:t>
      </w:r>
    </w:p>
    <w:p w14:paraId="63C1CF25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Use an active-active model where both regions serve traffic simultaneously (best resource utilisation, near-zero failover time) or active-passive where the second region stays warm/idle until needed (simpler consistency model).</w:t>
      </w:r>
    </w:p>
    <w:p w14:paraId="65292BE0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Front the regions with a global traffic manager/DNS that performs continuous health checks and routes users based on latency and region health.</w:t>
      </w:r>
    </w:p>
    <w:p w14:paraId="36AD42F1">
      <w:pPr>
        <w:spacing w:before="200" w:after="90"/>
      </w:pPr>
      <w:r>
        <w:rPr>
          <w:b/>
          <w:bCs/>
          <w:color w:val="2F6FA7"/>
          <w:sz w:val="23"/>
          <w:szCs w:val="23"/>
        </w:rPr>
        <w:t>(b) Data Replication and Failover Configuration</w:t>
      </w:r>
    </w:p>
    <w:p w14:paraId="50A37433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Configure synchronous replication within a region (for strong consistency on critical data) and asynchronous cross-region replication (to keep the secondary region's data near-current without adding latency to every write).</w:t>
      </w:r>
    </w:p>
    <w:p w14:paraId="737391C5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An automated failover controller continuously evaluates region health; on detecting a regional outage it promotes the replica database to primary and updates the global traffic manager to redirect all users to the healthy region.</w:t>
      </w:r>
    </w:p>
    <w:p w14:paraId="6723986B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Design applications to be stateless where possible (session state in a distributed cache, not local memory) so any region can serve any user's request after failover.</w:t>
      </w:r>
    </w:p>
    <w:p w14:paraId="39A13EE7">
      <w:pPr>
        <w:spacing w:before="200" w:after="90"/>
      </w:pPr>
      <w:r>
        <w:rPr>
          <w:b/>
          <w:bCs/>
          <w:color w:val="2F6FA7"/>
          <w:sz w:val="23"/>
          <w:szCs w:val="23"/>
        </w:rPr>
        <w:t>(c) Monitoring and Alerting for Proactive Issue Detection</w:t>
      </w:r>
    </w:p>
    <w:p w14:paraId="051E1154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Continuous synthetic health checks and real-user monitoring (RUM) track latency, error rates, and availability per region.</w:t>
      </w:r>
    </w:p>
    <w:p w14:paraId="36D60364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Centralized logging and metrics dashboards (e.g., Prometheus/Grafana or cloud-native monitoring) aggregate signals from all regions into one pane of glass.</w:t>
      </w:r>
    </w:p>
    <w:p w14:paraId="3C4A3DEF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Threshold- and anomaly-based alerts notify on-call engineers before users are significantly impacted, and automated runbooks can trigger failover without waiting for manual action.</w:t>
      </w:r>
    </w:p>
    <w:p w14:paraId="3F489D4D">
      <w:pPr>
        <w:pStyle w:val="16"/>
        <w:numPr>
          <w:ilvl w:val="0"/>
          <w:numId w:val="1"/>
        </w:numPr>
        <w:spacing w:after="70"/>
      </w:pPr>
      <w:r>
        <w:rPr>
          <w:b w:val="0"/>
          <w:bCs w:val="0"/>
          <w:color w:val="14212E"/>
          <w:sz w:val="21"/>
          <w:szCs w:val="21"/>
        </w:rPr>
        <w:t>Regular chaos-engineering drills (deliberately failing a region) validate that failover and alerting actually work as designed.</w:t>
      </w:r>
    </w:p>
    <w:p w14:paraId="3E3CA41C">
      <w:pPr>
        <w:spacing w:before="160" w:after="60"/>
        <w:jc w:val="center"/>
      </w:pPr>
      <w:r>
        <w:drawing>
          <wp:inline distT="0" distB="0" distL="0" distR="0">
            <wp:extent cx="5334000" cy="31908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7B559">
      <w:pPr>
        <w:spacing w:after="220"/>
        <w:jc w:val="center"/>
      </w:pPr>
      <w:r>
        <w:rPr>
          <w:i/>
          <w:iCs/>
          <w:color w:val="5B6B78"/>
          <w:sz w:val="18"/>
          <w:szCs w:val="18"/>
        </w:rPr>
        <w:t>Fig 5.1 – Multi-region active-active deployment with replication, failover, and monitoring</w:t>
      </w:r>
    </w:p>
    <w:sectPr>
      <w:pgSz w:w="12240" w:h="15840"/>
      <w:pgMar w:top="1000" w:right="1080" w:bottom="100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420" w:hanging="260"/>
      </w:pPr>
    </w:lvl>
    <w:lvl w:ilvl="1" w:tentative="0">
      <w:start w:val="1"/>
      <w:numFmt w:val="bullet"/>
      <w:lvlText w:val="–"/>
      <w:lvlJc w:val="left"/>
      <w:pPr>
        <w:ind w:left="82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4771F53"/>
    <w:rsid w:val="6B693F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1679</Words>
  <Characters>10558</Characters>
  <TotalTime>1</TotalTime>
  <ScaleCrop>false</ScaleCrop>
  <LinksUpToDate>false</LinksUpToDate>
  <CharactersWithSpaces>12138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2026-08-02T15:25:00Z</dcterms:created>
  <dc:creator>Un-named</dc:creator>
  <cp:lastModifiedBy>kaviyavarshini s</cp:lastModifiedBy>
  <dcterms:modified xsi:type="dcterms:W3CDTF">2026-08-04T18:37:55Z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eyJoZGlkIjoiMDNmZjIzNmM4MGUwNjY3N2IxMDQ2NDE3ZTY5NDk3MGMiLCJ1c2VySWQiOiI1Njc1NTU3NzkwNDcifQ==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47FE64B4601546E2A5A0955D26E37C5F_12</vt:lpwstr>
  </property>
</Properties>
</file>