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Product Requirements Document: Veritariff Landing Page</w:t>
      </w:r>
    </w:p>
    <w:p>
      <w:pPr>
        <w:pStyle w:val="Heading2"/>
        <w:pStyle w:val="MdHeading2"/>
      </w:pPr>
      <w:r>
        <w:t xml:space="preserve">1. Executive Summary</w:t>
      </w:r>
    </w:p>
    <w:p>
      <w:pPr>
        <w:pStyle w:val="MdParagraph"/>
      </w:pPr>
      <w:r>
        <w:t xml:space="preserve">This document outlines the Product Requirements for the Veritariff Landing Page. The primary goal of this landing page is to clearly communicate Veritariff's value proposition to customs brokers and freight forwarders, drive early access sign-ups, and gather feedback from potential founding partners. The page is designed to be highly interactive, with a strong emphasis on demonstrating the product's core functionality and addressing key pain points in trade compliance.</w:t>
      </w:r>
    </w:p>
    <w:p>
      <w:pPr>
        <w:pStyle w:val="MdSpace"/>
        <w:spacing w:before="0" w:after="60"/>
      </w:pPr>
    </w:p>
    <w:p>
      <w:pPr>
        <w:pStyle w:val="Heading2"/>
        <w:pStyle w:val="MdHeading2"/>
      </w:pPr>
      <w:r>
        <w:t xml:space="preserve">2. Page Flow at a Glance</w:t>
      </w:r>
    </w:p>
    <w:p>
      <w:pPr>
        <w:pStyle w:val="MdParagraph"/>
      </w:pPr>
      <w:r>
        <w:t xml:space="preserve">The landing page will guide visitors through a structured narrative, presenting Veritariff's capabilities and benefits in a logical sequence. The key sections are:</w:t>
      </w:r>
    </w:p>
    <w:p>
      <w:pPr>
        <w:pStyle w:val="MdSpace"/>
        <w:spacing w:before="0" w:after="60"/>
      </w:pPr>
    </w:p>
    <w:p>
      <w:pPr>
        <w:pStyle w:val="MdListItem"/>
        <w:numPr>
          <w:ilvl w:val="0"/>
          <w:numId w:val="2"/>
        </w:numPr>
      </w:pPr>
      <w:r>
        <w:rPr>
          <w:rStyle w:val="MdStrong"/>
          <w:b/>
          <w:bCs/>
        </w:rPr>
        <w:t xml:space="preserve">Hero</w:t>
      </w:r>
      <w:r>
        <w:t xml:space="preserve">: Immediate value proposition, call to action, and product visual.</w:t>
      </w:r>
    </w:p>
    <w:p>
      <w:pPr>
        <w:pStyle w:val="MdListItem"/>
        <w:numPr>
          <w:ilvl w:val="0"/>
          <w:numId w:val="2"/>
        </w:numPr>
      </w:pPr>
      <w:r>
        <w:rPr>
          <w:rStyle w:val="MdStrong"/>
          <w:b/>
          <w:bCs/>
        </w:rPr>
        <w:t xml:space="preserve">The Workspace</w:t>
      </w:r>
      <w:r>
        <w:t xml:space="preserve">: Interactive demonstration of the platform's adaptability for different user roles (Broker, Importer, Exporter).</w:t>
      </w:r>
    </w:p>
    <w:p>
      <w:pPr>
        <w:pStyle w:val="MdListItem"/>
        <w:numPr>
          <w:ilvl w:val="0"/>
          <w:numId w:val="2"/>
        </w:numPr>
      </w:pPr>
      <w:r>
        <w:rPr>
          <w:rStyle w:val="MdStrong"/>
          <w:b/>
          <w:bCs/>
        </w:rPr>
        <w:t xml:space="preserve">The Core Engine</w:t>
      </w:r>
      <w:r>
        <w:t xml:space="preserve">: Explains Veritariff's unique, deterministic approach to compliance.</w:t>
      </w:r>
    </w:p>
    <w:p>
      <w:pPr>
        <w:pStyle w:val="MdListItem"/>
        <w:numPr>
          <w:ilvl w:val="0"/>
          <w:numId w:val="2"/>
        </w:numPr>
      </w:pPr>
      <w:r>
        <w:rPr>
          <w:rStyle w:val="MdStrong"/>
          <w:b/>
          <w:bCs/>
        </w:rPr>
        <w:t xml:space="preserve">Results</w:t>
      </w:r>
      <w:r>
        <w:t xml:space="preserve">: Quantifiable proof of value and impact.</w:t>
      </w:r>
    </w:p>
    <w:p>
      <w:pPr>
        <w:pStyle w:val="MdListItem"/>
        <w:numPr>
          <w:ilvl w:val="0"/>
          <w:numId w:val="2"/>
        </w:numPr>
      </w:pPr>
      <w:r>
        <w:rPr>
          <w:rStyle w:val="MdStrong"/>
          <w:b/>
          <w:bCs/>
        </w:rPr>
        <w:t xml:space="preserve">TradeWatch</w:t>
      </w:r>
      <w:r>
        <w:t xml:space="preserve">: Highlights regulatory monitoring and proactive issue resolution.</w:t>
      </w:r>
    </w:p>
    <w:p>
      <w:pPr>
        <w:pStyle w:val="MdListItem"/>
        <w:numPr>
          <w:ilvl w:val="0"/>
          <w:numId w:val="2"/>
        </w:numPr>
      </w:pPr>
      <w:r>
        <w:rPr>
          <w:rStyle w:val="MdStrong"/>
          <w:b/>
          <w:bCs/>
        </w:rPr>
        <w:t xml:space="preserve">TradeHub</w:t>
      </w:r>
      <w:r>
        <w:t xml:space="preserve">: Vision for future platform expansion and network effects.</w:t>
      </w:r>
    </w:p>
    <w:p>
      <w:pPr>
        <w:pStyle w:val="MdListItem"/>
        <w:numPr>
          <w:ilvl w:val="0"/>
          <w:numId w:val="2"/>
        </w:numPr>
      </w:pPr>
      <w:r>
        <w:rPr>
          <w:rStyle w:val="MdStrong"/>
          <w:b/>
          <w:bCs/>
        </w:rPr>
        <w:t xml:space="preserve">Manifesto</w:t>
      </w:r>
      <w:r>
        <w:t xml:space="preserve">: Emotional connection and brand philosophy.</w:t>
      </w:r>
    </w:p>
    <w:p>
      <w:pPr>
        <w:pStyle w:val="MdListItem"/>
        <w:numPr>
          <w:ilvl w:val="0"/>
          <w:numId w:val="2"/>
        </w:numPr>
      </w:pPr>
      <w:r>
        <w:rPr>
          <w:rStyle w:val="MdStrong"/>
          <w:b/>
          <w:bCs/>
        </w:rPr>
        <w:t xml:space="preserve">Founding Partners + Final CTA</w:t>
      </w:r>
      <w:r>
        <w:t xml:space="preserve">: Social proof and conversion opportunities.</w:t>
      </w:r>
    </w:p>
    <w:p>
      <w:pPr>
        <w:pStyle w:val="MdListItem"/>
        <w:numPr>
          <w:ilvl w:val="0"/>
          <w:numId w:val="2"/>
        </w:numPr>
      </w:pPr>
      <w:r>
        <w:rPr>
          <w:rStyle w:val="MdStrong"/>
          <w:b/>
          <w:bCs/>
        </w:rPr>
        <w:t xml:space="preserve">Footer</w:t>
      </w:r>
      <w:r>
        <w:t xml:space="preserve">: Standard navigation and legal links.</w:t>
      </w:r>
    </w:p>
    <w:p>
      <w:pPr>
        <w:pStyle w:val="MdSpace"/>
        <w:spacing w:before="0" w:after="60"/>
      </w:pPr>
    </w:p>
    <w:p>
      <w:pPr>
        <w:pStyle w:val="MdParagraph"/>
      </w:pPr>
      <w:r>
        <w:t xml:space="preserve">Sections 3-7 serve as supporting content, while the Hero and the interactive Workspace are the critical elements that must be executed flawlessly to capture user attention and engagement.</w:t>
      </w:r>
    </w:p>
    <w:p>
      <w:pPr>
        <w:pStyle w:val="MdSpace"/>
        <w:spacing w:before="0" w:after="60"/>
      </w:pPr>
    </w:p>
    <w:p>
      <w:pPr>
        <w:pStyle w:val="Heading2"/>
        <w:pStyle w:val="MdHeading2"/>
      </w:pPr>
      <w:r>
        <w:t xml:space="preserve">3. Section 1: Hero</w:t>
      </w:r>
    </w:p>
    <w:p>
      <w:pPr>
        <w:pStyle w:val="Heading3"/>
        <w:pStyle w:val="MdHeading3"/>
      </w:pPr>
      <w:r>
        <w:t xml:space="preserve">3.1. Purpose</w:t>
      </w:r>
    </w:p>
    <w:p>
      <w:pPr>
        <w:pStyle w:val="MdParagraph"/>
      </w:pPr>
      <w:r>
        <w:t xml:space="preserve">To immediately convey Veritariff's core offering and value proposition, showcasing the real product and encouraging initial engagement.</w:t>
      </w:r>
    </w:p>
    <w:p>
      <w:pPr>
        <w:pStyle w:val="MdSpace"/>
        <w:spacing w:before="0" w:after="60"/>
      </w:pPr>
    </w:p>
    <w:p>
      <w:pPr>
        <w:pStyle w:val="Heading3"/>
        <w:pStyle w:val="MdHeading3"/>
      </w:pPr>
      <w:r>
        <w:t xml:space="preserve">3.2. Content</w:t>
      </w:r>
    </w:p>
    <w:p>
      <w:pPr>
        <w:pStyle w:val="MdListItem"/>
        <w:numPr>
          <w:ilvl w:val="0"/>
          <w:numId w:val="2"/>
        </w:numPr>
      </w:pPr>
      <w:r>
        <w:rPr>
          <w:rStyle w:val="MdStrong"/>
          <w:b/>
          <w:bCs/>
        </w:rPr>
        <w:t xml:space="preserve">Heading</w:t>
      </w:r>
      <w:r>
        <w:t xml:space="preserve">: Trade made easy.</w:t>
      </w:r>
    </w:p>
    <w:p>
      <w:pPr>
        <w:pStyle w:val="MdListItem"/>
        <w:numPr>
          <w:ilvl w:val="0"/>
          <w:numId w:val="2"/>
        </w:numPr>
      </w:pPr>
      <w:r>
        <w:rPr>
          <w:rStyle w:val="MdStrong"/>
          <w:b/>
          <w:bCs/>
        </w:rPr>
        <w:t xml:space="preserve">Sub-heading</w:t>
      </w:r>
      <w:r>
        <w:t xml:space="preserve">: You weren't meant to fight the paperwork — you were meant to move the world. Veritariff is the compliance workspace for UK–EU trade: get your duty, classification and rules of origin right, simulate the filing, and audit every decision. Built for the brokers and businesses global trade left behind.</w:t>
      </w:r>
    </w:p>
    <w:p>
      <w:pPr>
        <w:pStyle w:val="MdListItem"/>
        <w:numPr>
          <w:ilvl w:val="0"/>
          <w:numId w:val="2"/>
        </w:numPr>
      </w:pPr>
      <w:r>
        <w:rPr>
          <w:rStyle w:val="MdStrong"/>
          <w:b/>
          <w:bCs/>
        </w:rPr>
        <w:t xml:space="preserve">Primary CTA</w:t>
      </w:r>
      <w:r>
        <w:t xml:space="preserve">: </w:t>
      </w:r>
      <w:r>
        <w:rPr>
          <w:rStyle w:val="MdCode"/>
          <w:u w:val="single"/>
        </w:rPr>
        <w:t xml:space="preserve">Get early access</w:t>
      </w:r>
    </w:p>
    <w:p>
      <w:pPr>
        <w:pStyle w:val="MdListItem"/>
        <w:numPr>
          <w:ilvl w:val="0"/>
          <w:numId w:val="2"/>
        </w:numPr>
      </w:pPr>
      <w:r>
        <w:rPr>
          <w:rStyle w:val="MdStrong"/>
          <w:b/>
          <w:bCs/>
        </w:rPr>
        <w:t xml:space="preserve">Secondary CTA</w:t>
      </w:r>
      <w:r>
        <w:t xml:space="preserve">: </w:t>
      </w:r>
      <w:r>
        <w:rPr>
          <w:rStyle w:val="MdCode"/>
          <w:u w:val="single"/>
        </w:rPr>
        <w:t xml:space="preserve">See the workspace ↓</w:t>
      </w:r>
      <w:r>
        <w:t xml:space="preserve"> (This will be an anchor link to Section 2).</w:t>
      </w:r>
    </w:p>
    <w:p>
      <w:pPr>
        <w:pStyle w:val="MdSpace"/>
        <w:spacing w:before="0" w:after="60"/>
      </w:pPr>
    </w:p>
    <w:p>
      <w:pPr>
        <w:pStyle w:val="Heading3"/>
        <w:pStyle w:val="MdHeading3"/>
      </w:pPr>
      <w:r>
        <w:t xml:space="preserve">3.3. Visual</w:t>
      </w:r>
    </w:p>
    <w:p>
      <w:pPr>
        <w:pStyle w:val="MdParagraph"/>
      </w:pPr>
      <w:r>
        <w:t xml:space="preserve">A real product screenshot (Dashboard or Intake view) on a light background (</w:t>
      </w:r>
      <w:r>
        <w:rPr>
          <w:rStyle w:val="MdCode"/>
          <w:u w:val="single"/>
        </w:rPr>
        <w:t xml:space="preserve">#FAF9F5</w:t>
      </w:r>
      <w:r>
        <w:t xml:space="preserve">), featuring a thin teal "road" line running through it. The visual should immediately communicate the product's interface and functionality.</w:t>
      </w:r>
    </w:p>
    <w:p>
      <w:pPr>
        <w:pStyle w:val="MdSpace"/>
        <w:spacing w:before="0" w:after="60"/>
      </w:pPr>
    </w:p>
    <w:p>
      <w:pPr>
        <w:pStyle w:val="Heading2"/>
        <w:pStyle w:val="MdHeading2"/>
      </w:pPr>
      <w:r>
        <w:t xml:space="preserve">4. Section 2: The Workspace (Interactive Centrepiece)</w:t>
      </w:r>
    </w:p>
    <w:p>
      <w:pPr>
        <w:pStyle w:val="Heading3"/>
        <w:pStyle w:val="MdHeading3"/>
      </w:pPr>
      <w:r>
        <w:t xml:space="preserve">4.1. Purpose</w:t>
      </w:r>
    </w:p>
    <w:p>
      <w:pPr>
        <w:pStyle w:val="MdParagraph"/>
      </w:pPr>
      <w:r>
        <w:t xml:space="preserve">To demonstrate that Veritariff is a single, powerful engine adaptable to the specific needs of different trade compliance roles, allowing visitors to visualize its relevance to their own operations.</w:t>
      </w:r>
    </w:p>
    <w:p>
      <w:pPr>
        <w:pStyle w:val="MdSpace"/>
        <w:spacing w:before="0" w:after="60"/>
      </w:pPr>
    </w:p>
    <w:p>
      <w:pPr>
        <w:pStyle w:val="Heading3"/>
        <w:pStyle w:val="MdHeading3"/>
      </w:pPr>
      <w:r>
        <w:t xml:space="preserve">4.2. Content</w:t>
      </w:r>
    </w:p>
    <w:p>
      <w:pPr>
        <w:pStyle w:val="MdListItem"/>
        <w:numPr>
          <w:ilvl w:val="0"/>
          <w:numId w:val="2"/>
        </w:numPr>
      </w:pPr>
      <w:r>
        <w:rPr>
          <w:rStyle w:val="MdStrong"/>
          <w:b/>
          <w:bCs/>
        </w:rPr>
        <w:t xml:space="preserve">Section Headline</w:t>
      </w:r>
      <w:r>
        <w:t xml:space="preserve">: One engine. Three lenses. Total control.</w:t>
      </w:r>
    </w:p>
    <w:p>
      <w:pPr>
        <w:pStyle w:val="MdListItem"/>
        <w:numPr>
          <w:ilvl w:val="0"/>
          <w:numId w:val="2"/>
        </w:numPr>
      </w:pPr>
      <w:r>
        <w:rPr>
          <w:rStyle w:val="MdStrong"/>
          <w:b/>
          <w:bCs/>
        </w:rPr>
        <w:t xml:space="preserve">Section Sub-heading</w:t>
      </w:r>
      <w:r>
        <w:t xml:space="preserve">: One unified system, shaped to whoever you are on the shipment.</w:t>
      </w:r>
    </w:p>
    <w:p>
      <w:pPr>
        <w:pStyle w:val="MdSpace"/>
        <w:spacing w:before="0" w:after="60"/>
      </w:pPr>
    </w:p>
    <w:p>
      <w:pPr>
        <w:pStyle w:val="Heading3"/>
        <w:pStyle w:val="MdHeading3"/>
      </w:pPr>
      <w:r>
        <w:t xml:space="preserve">4.3. Component Behaviour: 3-Tab Switcher</w:t>
      </w:r>
    </w:p>
    <w:p>
      <w:pPr>
        <w:pStyle w:val="MdParagraph"/>
      </w:pPr>
      <w:r>
        <w:t xml:space="preserve">This section will feature an interactive tab component with three distinct roles. Default selection will be "Broker".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Tab</w:t>
            </w:r>
          </w:p>
        </w:tc>
        <w:tc>
          <w:tcPr>
            <w:tcMar>
              <w:top w:type="dxa" w:w="100"/>
              <w:left w:type="dxa" w:w="120"/>
              <w:bottom w:type="dxa" w:w="100"/>
              <w:right w:type="dxa" w:w="120"/>
            </w:tcMar>
            <w:vAlign w:val="center"/>
          </w:tcPr>
          <w:p>
            <w:pPr>
              <w:pStyle w:val="MdTableHeader"/>
              <w:jc w:val="left"/>
            </w:pPr>
            <w:r>
              <w:t xml:space="preserve">Role</w:t>
            </w:r>
          </w:p>
        </w:tc>
        <w:tc>
          <w:tcPr>
            <w:tcMar>
              <w:top w:type="dxa" w:w="100"/>
              <w:left w:type="dxa" w:w="120"/>
              <w:bottom w:type="dxa" w:w="100"/>
              <w:right w:type="dxa" w:w="120"/>
            </w:tcMar>
            <w:vAlign w:val="center"/>
          </w:tcPr>
          <w:p>
            <w:pPr>
              <w:pStyle w:val="MdTableHeader"/>
              <w:jc w:val="left"/>
            </w:pPr>
            <w:r>
              <w:t xml:space="preserve">Promise</w:t>
            </w:r>
          </w:p>
        </w:tc>
        <w:tc>
          <w:tcPr>
            <w:tcMar>
              <w:top w:type="dxa" w:w="100"/>
              <w:left w:type="dxa" w:w="120"/>
              <w:bottom w:type="dxa" w:w="100"/>
              <w:right w:type="dxa" w:w="120"/>
            </w:tcMar>
            <w:vAlign w:val="center"/>
          </w:tcPr>
          <w:p>
            <w:pPr>
              <w:pStyle w:val="MdTableHeader"/>
              <w:jc w:val="left"/>
            </w:pPr>
            <w:r>
              <w:t xml:space="preserve">Features (each 1 line)</w:t>
            </w:r>
          </w:p>
        </w:tc>
        <w:tc>
          <w:tcPr>
            <w:tcMar>
              <w:top w:type="dxa" w:w="100"/>
              <w:left w:type="dxa" w:w="120"/>
              <w:bottom w:type="dxa" w:w="100"/>
              <w:right w:type="dxa" w:w="120"/>
            </w:tcMar>
            <w:vAlign w:val="center"/>
          </w:tcPr>
          <w:p>
            <w:pPr>
              <w:pStyle w:val="MdTableHeader"/>
              <w:jc w:val="left"/>
            </w:pPr>
            <w:r>
              <w:t xml:space="preserve">Screenshot</w:t>
            </w:r>
          </w:p>
        </w:tc>
        <w:tc>
          <w:tcPr>
            <w:tcBorders>
              <w:right w:val="none"/>
            </w:tcBorders>
            <w:tcMar>
              <w:top w:type="dxa" w:w="100"/>
              <w:left w:type="dxa" w:w="120"/>
              <w:bottom w:type="dxa" w:w="100"/>
              <w:right w:type="dxa" w:w="120"/>
            </w:tcMar>
            <w:vAlign w:val="center"/>
          </w:tcPr>
          <w:p>
            <w:pPr>
              <w:pStyle w:val="MdTableHeader"/>
              <w:jc w:val="left"/>
            </w:pPr>
            <w:r>
              <w:t xml:space="preserve">PM Note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w:t>
            </w:r>
          </w:p>
        </w:tc>
        <w:tc>
          <w:tcPr>
            <w:tcMar>
              <w:top w:type="dxa" w:w="80"/>
              <w:left w:type="dxa" w:w="120"/>
              <w:bottom w:type="dxa" w:w="80"/>
              <w:right w:type="dxa" w:w="120"/>
            </w:tcMar>
            <w:vAlign w:val="center"/>
          </w:tcPr>
          <w:p>
            <w:pPr>
              <w:pStyle w:val="MdTableCell"/>
              <w:jc w:val="left"/>
            </w:pPr>
            <w:r>
              <w:rPr>
                <w:rStyle w:val="MdStrong"/>
                <w:b/>
                <w:bCs/>
              </w:rPr>
              <w:t xml:space="preserve">Broker</w:t>
            </w:r>
          </w:p>
        </w:tc>
        <w:tc>
          <w:tcPr>
            <w:tcMar>
              <w:top w:type="dxa" w:w="80"/>
              <w:left w:type="dxa" w:w="120"/>
              <w:bottom w:type="dxa" w:w="80"/>
              <w:right w:type="dxa" w:w="120"/>
            </w:tcMar>
            <w:vAlign w:val="center"/>
          </w:tcPr>
          <w:p>
            <w:pPr>
              <w:pStyle w:val="MdTableCell"/>
              <w:jc w:val="left"/>
            </w:pPr>
            <w:r>
              <w:t xml:space="preserve">Pre-declaration to declaration in 8 minutes, not an afternoon. The prep gets done while you make your coffee. More entries through the same hands — routine ones on autopilot, tricky ones with you in the driver's seat. It doesn't work its way. It works yours.</w:t>
            </w:r>
          </w:p>
        </w:tc>
        <w:tc>
          <w:tcPr>
            <w:tcMar>
              <w:top w:type="dxa" w:w="80"/>
              <w:left w:type="dxa" w:w="120"/>
              <w:bottom w:type="dxa" w:w="80"/>
              <w:right w:type="dxa" w:w="120"/>
            </w:tcMar>
            <w:vAlign w:val="center"/>
          </w:tcPr>
          <w:p>
            <w:pPr>
              <w:pStyle w:val="MdTableCell"/>
              <w:jc w:val="left"/>
            </w:pPr>
            <w:r>
              <w:t xml:space="preserve">- Documents in, auto-sorted by shipment — mismatch caught at the door, before it becomes a rejection</w:t>
            </w:r>
            <w:r>
              <w:rPr>
                <w:rStyle w:val="MdTag"/>
              </w:rPr>
              <w:t xml:space="preserve">&lt;br&gt;</w:t>
            </w:r>
            <w:r>
              <w:t xml:space="preserve">- Your rules, your rounding: set the tolerances, the AI acts only inside them</w:t>
            </w:r>
            <w:r>
              <w:rPr>
                <w:rStyle w:val="MdTag"/>
              </w:rPr>
              <w:t xml:space="preserve">&lt;br&gt;</w:t>
            </w:r>
            <w:r>
              <w:t xml:space="preserve">- HS classification verified and cited — not a guess</w:t>
            </w:r>
            <w:r>
              <w:rPr>
                <w:rStyle w:val="MdTag"/>
              </w:rPr>
              <w:t xml:space="preserve">&lt;br&gt;</w:t>
            </w:r>
            <w:r>
              <w:t xml:space="preserve">- Duty &amp; landed cost, calculated with the saving on screen</w:t>
            </w:r>
            <w:r>
              <w:rPr>
                <w:rStyle w:val="MdTag"/>
              </w:rPr>
              <w:t xml:space="preserve">&lt;br&gt;</w:t>
            </w:r>
            <w:r>
              <w:t xml:space="preserve">- Rules of origin, surfaced in context</w:t>
            </w:r>
            <w:r>
              <w:rPr>
                <w:rStyle w:val="MdTag"/>
              </w:rPr>
              <w:t xml:space="preserve">&lt;br&gt;</w:t>
            </w:r>
            <w:r>
              <w:t xml:space="preserve">- Pre-filing screening (sanctions + export controls)</w:t>
            </w:r>
            <w:r>
              <w:rPr>
                <w:rStyle w:val="MdTag"/>
              </w:rPr>
              <w:t xml:space="preserve">&lt;br&gt;</w:t>
            </w:r>
            <w:r>
              <w:t xml:space="preserve">- Filing, handled — the filing simulator catches what CDS would reject, then the finished record flows straight into the software you already file with (CargoWise, Descartes, CDS)</w:t>
            </w:r>
            <w:r>
              <w:rPr>
                <w:rStyle w:val="MdTag"/>
              </w:rPr>
              <w:t xml:space="preserve">&lt;br&gt;</w:t>
            </w:r>
            <w:r>
              <w:t xml:space="preserve">- One-click audit bundle</w:t>
            </w:r>
          </w:p>
        </w:tc>
        <w:tc>
          <w:tcPr>
            <w:tcMar>
              <w:top w:type="dxa" w:w="80"/>
              <w:left w:type="dxa" w:w="120"/>
              <w:bottom w:type="dxa" w:w="80"/>
              <w:right w:type="dxa" w:w="120"/>
            </w:tcMar>
            <w:vAlign w:val="center"/>
          </w:tcPr>
          <w:p>
            <w:pPr>
              <w:pStyle w:val="MdTableCell"/>
              <w:jc w:val="left"/>
            </w:pPr>
            <w:r>
              <w:t xml:space="preserve">Intake / clearance-pipeline view</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w:t>
            </w:r>
          </w:p>
        </w:tc>
        <w:tc>
          <w:tcPr>
            <w:tcMar>
              <w:top w:type="dxa" w:w="80"/>
              <w:left w:type="dxa" w:w="120"/>
              <w:bottom w:type="dxa" w:w="80"/>
              <w:right w:type="dxa" w:w="120"/>
            </w:tcMar>
            <w:vAlign w:val="center"/>
          </w:tcPr>
          <w:p>
            <w:pPr>
              <w:pStyle w:val="MdTableCell"/>
              <w:jc w:val="left"/>
            </w:pPr>
            <w:r>
              <w:rPr>
                <w:rStyle w:val="MdStrong"/>
                <w:b/>
                <w:bCs/>
              </w:rPr>
              <w:t xml:space="preserve">Importer</w:t>
            </w:r>
          </w:p>
        </w:tc>
        <w:tc>
          <w:tcPr>
            <w:tcMar>
              <w:top w:type="dxa" w:w="80"/>
              <w:left w:type="dxa" w:w="120"/>
              <w:bottom w:type="dxa" w:w="80"/>
              <w:right w:type="dxa" w:w="120"/>
            </w:tcMar>
            <w:vAlign w:val="center"/>
          </w:tcPr>
          <w:p>
            <w:pPr>
              <w:pStyle w:val="MdTableCell"/>
              <w:jc w:val="left"/>
            </w:pPr>
            <w:r>
              <w:t xml:space="preserve">You carry the liability. Finally, you carry the tools. See the penalty before HMRC does. Walk into an audit ready before the letter hits your mailbox. And put your broker, forwarder and exporter on one page — the end of the telephone game.</w:t>
            </w:r>
          </w:p>
        </w:tc>
        <w:tc>
          <w:tcPr>
            <w:tcMar>
              <w:top w:type="dxa" w:w="80"/>
              <w:left w:type="dxa" w:w="120"/>
              <w:bottom w:type="dxa" w:w="80"/>
              <w:right w:type="dxa" w:w="120"/>
            </w:tcMar>
            <w:vAlign w:val="center"/>
          </w:tcPr>
          <w:p>
            <w:pPr>
              <w:pStyle w:val="MdTableCell"/>
              <w:jc w:val="left"/>
            </w:pPr>
            <w:r>
              <w:t xml:space="preserve">- Verify your broker's classification and entry before it's filed</w:t>
            </w:r>
            <w:r>
              <w:rPr>
                <w:rStyle w:val="MdTag"/>
              </w:rPr>
              <w:t xml:space="preserve">&lt;br&gt;</w:t>
            </w:r>
            <w:r>
              <w:t xml:space="preserve">- Claim the preference you're owed — stop overpaying duty</w:t>
            </w:r>
            <w:r>
              <w:rPr>
                <w:rStyle w:val="MdTag"/>
              </w:rPr>
              <w:t xml:space="preserve">&lt;br&gt;</w:t>
            </w:r>
            <w:r>
              <w:t xml:space="preserve">- Landed cost and exposure, in plain view</w:t>
            </w:r>
            <w:r>
              <w:rPr>
                <w:rStyle w:val="MdTag"/>
              </w:rPr>
              <w:t xml:space="preserve">&lt;br&gt;</w:t>
            </w:r>
            <w:r>
              <w:t xml:space="preserve">- A bankable, audit-ready trail — proof you acted in good faith</w:t>
            </w:r>
            <w:r>
              <w:rPr>
                <w:rStyle w:val="MdTag"/>
              </w:rPr>
              <w:t xml:space="preserve">&lt;br&gt;</w:t>
            </w:r>
            <w:r>
              <w:t xml:space="preserve">- Connect broker, forwarder and exporter on one shared record</w:t>
            </w:r>
            <w:r>
              <w:rPr>
                <w:rStyle w:val="MdTag"/>
              </w:rPr>
              <w:t xml:space="preserve">&lt;br&gt;</w:t>
            </w:r>
            <w:r>
              <w:t xml:space="preserve">- See the filing simulator flag what HMRC would reject — caught before the declaration is ever submitted</w:t>
            </w:r>
          </w:p>
        </w:tc>
        <w:tc>
          <w:tcPr>
            <w:tcMar>
              <w:top w:type="dxa" w:w="80"/>
              <w:left w:type="dxa" w:w="120"/>
              <w:bottom w:type="dxa" w:w="80"/>
              <w:right w:type="dxa" w:w="120"/>
            </w:tcMar>
            <w:vAlign w:val="center"/>
          </w:tcPr>
          <w:p>
            <w:pPr>
              <w:pStyle w:val="MdTableCell"/>
              <w:jc w:val="left"/>
            </w:pPr>
            <w:r>
              <w:t xml:space="preserve">Record &amp; valuation / Screening &amp; cost view</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Exporter</w:t>
            </w:r>
          </w:p>
        </w:tc>
        <w:tc>
          <w:tcPr>
            <w:tcBorders>
              <w:bottom w:val="single" w:color="E1E4E8" w:sz="4"/>
            </w:tcBorders>
            <w:tcMar>
              <w:top w:type="dxa" w:w="80"/>
              <w:left w:type="dxa" w:w="120"/>
              <w:bottom w:type="dxa" w:w="80"/>
              <w:right w:type="dxa" w:w="120"/>
            </w:tcMar>
            <w:vAlign w:val="center"/>
          </w:tcPr>
          <w:p>
            <w:pPr>
              <w:pStyle w:val="MdTableCell"/>
              <w:jc w:val="left"/>
            </w:pPr>
            <w:r>
              <w:t xml:space="preserve">Export controls, sanctions and duty — handled and in plain sight, not hanging over you. Know your true cost before you commit. And turn origin from the thing you dread into the lever you pull.</w:t>
            </w:r>
          </w:p>
        </w:tc>
        <w:tc>
          <w:tcPr>
            <w:tcBorders>
              <w:bottom w:val="single" w:color="E1E4E8" w:sz="4"/>
            </w:tcBorders>
            <w:tcMar>
              <w:top w:type="dxa" w:w="80"/>
              <w:left w:type="dxa" w:w="120"/>
              <w:bottom w:type="dxa" w:w="80"/>
              <w:right w:type="dxa" w:w="120"/>
            </w:tcMar>
            <w:vAlign w:val="center"/>
          </w:tcPr>
          <w:p>
            <w:pPr>
              <w:pStyle w:val="MdTableCell"/>
              <w:jc w:val="left"/>
            </w:pPr>
            <w:r>
              <w:t xml:space="preserve">- Upload your Bill of Materials → qualification assessment</w:t>
            </w:r>
            <w:r>
              <w:rPr>
                <w:rStyle w:val="MdTag"/>
              </w:rPr>
              <w:t xml:space="preserve">&lt;br&gt;</w:t>
            </w:r>
            <w:r>
              <w:t xml:space="preserve">- Export-control + sanctions screening, done up front</w:t>
            </w:r>
            <w:r>
              <w:rPr>
                <w:rStyle w:val="MdTag"/>
              </w:rPr>
              <w:t xml:space="preserve">&lt;br&gt;</w:t>
            </w:r>
            <w:r>
              <w:t xml:space="preserve">- True landed cost before you price the deal</w:t>
            </w:r>
            <w:r>
              <w:rPr>
                <w:rStyle w:val="MdTag"/>
              </w:rPr>
              <w:t xml:space="preserve">&lt;br&gt;</w:t>
            </w:r>
            <w:r>
              <w:t xml:space="preserve">- Defensible Proof of Origin: the evidence package + a signed Statement of Origin (gated, with your sign-off)</w:t>
            </w:r>
            <w:r>
              <w:rPr>
                <w:rStyle w:val="MdTag"/>
              </w:rPr>
              <w:t xml:space="preserve">&lt;br&gt;</w:t>
            </w:r>
            <w:r>
              <w:t xml:space="preserve">- Origin as strategy — see which market and route wins on duty</w:t>
            </w:r>
          </w:p>
        </w:tc>
        <w:tc>
          <w:tcPr>
            <w:tcBorders>
              <w:bottom w:val="single" w:color="E1E4E8" w:sz="4"/>
            </w:tcBorders>
            <w:tcMar>
              <w:top w:type="dxa" w:w="80"/>
              <w:left w:type="dxa" w:w="120"/>
              <w:bottom w:type="dxa" w:w="80"/>
              <w:right w:type="dxa" w:w="120"/>
            </w:tcMar>
            <w:vAlign w:val="center"/>
          </w:tcPr>
          <w:p>
            <w:pPr>
              <w:pStyle w:val="MdTableCell"/>
              <w:jc w:val="left"/>
            </w:pPr>
            <w:r>
              <w:t xml:space="preserve">Origin / Proof-of-Origin view</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The exporter's Proof-of-Origin generation is a gated workflow — always requires the exporter's explicit sign-off. This must be reflected in the UI copy and not imply it's one-click automatic.</w:t>
            </w:r>
          </w:p>
        </w:tc>
      </w:tr>
    </w:tbl>
    <w:p>
      <w:pPr>
        <w:pStyle w:val="Heading3"/>
        <w:pStyle w:val="MdHeading3"/>
      </w:pPr>
      <w:r>
        <w:t xml:space="preserve">4.4. Mobile Behaviour</w:t>
      </w:r>
    </w:p>
    <w:p>
      <w:pPr>
        <w:pStyle w:val="MdParagraph"/>
      </w:pPr>
      <w:r>
        <w:t xml:space="preserve">On mobile devices, the three tabs will transform into stacked, expandable cards. Tapping a role will expand the card to reveal its associated features and content.</w:t>
      </w:r>
    </w:p>
    <w:p>
      <w:pPr>
        <w:pStyle w:val="MdSpace"/>
        <w:spacing w:before="0" w:after="60"/>
      </w:pPr>
    </w:p>
    <w:p>
      <w:pPr>
        <w:pStyle w:val="Heading2"/>
        <w:pStyle w:val="MdHeading2"/>
      </w:pPr>
      <w:r>
        <w:t xml:space="preserve">5. Section 3: The Core Engine</w:t>
      </w:r>
    </w:p>
    <w:p>
      <w:pPr>
        <w:pStyle w:val="Heading3"/>
        <w:pStyle w:val="MdHeading3"/>
      </w:pPr>
      <w:r>
        <w:t xml:space="preserve">5.1. Purpose</w:t>
      </w:r>
    </w:p>
    <w:p>
      <w:pPr>
        <w:pStyle w:val="MdParagraph"/>
      </w:pPr>
      <w:r>
        <w:t xml:space="preserve">To establish trust and differentiate Veritariff from generic AI tools by highlighting its deterministic, expert-validated legal logic.</w:t>
      </w:r>
    </w:p>
    <w:p>
      <w:pPr>
        <w:pStyle w:val="MdSpace"/>
        <w:spacing w:before="0" w:after="60"/>
      </w:pPr>
    </w:p>
    <w:p>
      <w:pPr>
        <w:pStyle w:val="Heading3"/>
        <w:pStyle w:val="MdHeading3"/>
      </w:pPr>
      <w:r>
        <w:t xml:space="preserve">5.2. Content</w:t>
      </w:r>
    </w:p>
    <w:p>
      <w:pPr>
        <w:pStyle w:val="MdListItem"/>
        <w:numPr>
          <w:ilvl w:val="0"/>
          <w:numId w:val="2"/>
        </w:numPr>
      </w:pPr>
      <w:r>
        <w:rPr>
          <w:rStyle w:val="MdStrong"/>
          <w:b/>
          <w:bCs/>
        </w:rPr>
        <w:t xml:space="preserve">Headline</w:t>
      </w:r>
      <w:r>
        <w:t xml:space="preserve">: Flag, don't guess. Legal logic built by lawyers — not guessed by a machine.</w:t>
      </w:r>
    </w:p>
    <w:p>
      <w:pPr>
        <w:pStyle w:val="MdListItem"/>
        <w:numPr>
          <w:ilvl w:val="0"/>
          <w:numId w:val="2"/>
        </w:numPr>
      </w:pPr>
      <w:r>
        <w:rPr>
          <w:rStyle w:val="MdStrong"/>
          <w:b/>
          <w:bCs/>
        </w:rPr>
        <w:t xml:space="preserve">Body</w:t>
      </w:r>
      <w:r>
        <w:t xml:space="preserve">: Unlike generic "AI-powered" tools that guess, Veritariff runs on deterministic, expert-validated legal logic. The engine reads and organises your documents — but every output is cited to specific legal text, so you're always ready for post-Brexit divergence, CBAM, EUDR and sanctions. We give your experts a decision they can validate in seconds, instead of hours of manual research.</w:t>
      </w:r>
    </w:p>
    <w:p>
      <w:pPr>
        <w:pStyle w:val="MdListItem"/>
        <w:numPr>
          <w:ilvl w:val="0"/>
          <w:numId w:val="2"/>
        </w:numPr>
      </w:pPr>
      <w:r>
        <w:rPr>
          <w:rStyle w:val="MdStrong"/>
          <w:b/>
          <w:bCs/>
        </w:rPr>
        <w:t xml:space="preserve">Three Proof Points (icons + one line each)</w:t>
      </w:r>
      <w:r>
        <w:t xml:space="preserve">:</w:t>
      </w:r>
    </w:p>
    <w:p>
      <w:pPr>
        <w:pStyle w:val="MdListItem"/>
        <w:numPr>
          <w:ilvl w:val="1"/>
          <w:numId w:val="2"/>
        </w:numPr>
      </w:pPr>
      <w:r>
        <w:t xml:space="preserve">Cited, not a black box — every answer shows its receipts (the legal source)</w:t>
      </w:r>
    </w:p>
    <w:p>
      <w:pPr>
        <w:pStyle w:val="MdListItem"/>
        <w:numPr>
          <w:ilvl w:val="1"/>
          <w:numId w:val="2"/>
        </w:numPr>
      </w:pPr>
      <w:r>
        <w:t xml:space="preserve">Expert-validated — reviewed by customs specialists; sharper with every determination</w:t>
      </w:r>
    </w:p>
    <w:p>
      <w:pPr>
        <w:pStyle w:val="MdListItem"/>
        <w:numPr>
          <w:ilvl w:val="1"/>
          <w:numId w:val="2"/>
        </w:numPr>
      </w:pPr>
      <w:r>
        <w:t xml:space="preserve">Your data stays yours — we never train on it or sell it</w:t>
      </w:r>
    </w:p>
    <w:p>
      <w:pPr>
        <w:pStyle w:val="MdListItem"/>
        <w:numPr>
          <w:ilvl w:val="0"/>
          <w:numId w:val="2"/>
        </w:numPr>
      </w:pPr>
      <w:r>
        <w:rPr>
          <w:rStyle w:val="MdStrong"/>
          <w:b/>
          <w:bCs/>
        </w:rPr>
        <w:t xml:space="preserve">Small line</w:t>
      </w:r>
      <w:r>
        <w:t xml:space="preserve">: The engine reads your documents; it never makes the legal call.</w:t>
      </w:r>
    </w:p>
    <w:p>
      <w:pPr>
        <w:pStyle w:val="MdSpace"/>
        <w:spacing w:before="0" w:after="60"/>
      </w:pPr>
    </w:p>
    <w:p>
      <w:pPr>
        <w:pStyle w:val="Heading2"/>
        <w:pStyle w:val="MdHeading2"/>
      </w:pPr>
      <w:r>
        <w:t xml:space="preserve">6. Section 4: Results</w:t>
      </w:r>
    </w:p>
    <w:p>
      <w:pPr>
        <w:pStyle w:val="Heading3"/>
        <w:pStyle w:val="MdHeading3"/>
      </w:pPr>
      <w:r>
        <w:t xml:space="preserve">6.1. Purpose</w:t>
      </w:r>
    </w:p>
    <w:p>
      <w:pPr>
        <w:pStyle w:val="MdParagraph"/>
      </w:pPr>
      <w:r>
        <w:t xml:space="preserve">To provide concrete, quantifiable proof of Veritariff's value and impact.</w:t>
      </w:r>
    </w:p>
    <w:p>
      <w:pPr>
        <w:pStyle w:val="MdSpace"/>
        <w:spacing w:before="0" w:after="60"/>
      </w:pPr>
    </w:p>
    <w:p>
      <w:pPr>
        <w:pStyle w:val="Heading3"/>
        <w:pStyle w:val="MdHeading3"/>
      </w:pPr>
      <w:r>
        <w:t xml:space="preserve">6.2. Content</w:t>
      </w:r>
    </w:p>
    <w:p>
      <w:pPr>
        <w:pStyle w:val="MdListItem"/>
        <w:numPr>
          <w:ilvl w:val="0"/>
          <w:numId w:val="2"/>
        </w:numPr>
      </w:pPr>
      <w:r>
        <w:rPr>
          <w:rStyle w:val="MdStrong"/>
          <w:b/>
          <w:bCs/>
        </w:rPr>
        <w:t xml:space="preserve">Headline</w:t>
      </w:r>
      <w:r>
        <w:t xml:space="preserve">: Trade made easy. Made certain. Made fun.</w:t>
      </w:r>
    </w:p>
    <w:p>
      <w:pPr>
        <w:pStyle w:val="MdListItem"/>
        <w:numPr>
          <w:ilvl w:val="0"/>
          <w:numId w:val="2"/>
        </w:numPr>
      </w:pPr>
      <w:r>
        <w:rPr>
          <w:rStyle w:val="MdStrong"/>
          <w:b/>
          <w:bCs/>
        </w:rPr>
        <w:t xml:space="preserve">Four Stat Blocks</w:t>
      </w:r>
      <w:r>
        <w:t xml:space="preserve">:</w:t>
      </w:r>
    </w:p>
    <w:p>
      <w:pPr>
        <w:pStyle w:val="MdListItem"/>
        <w:numPr>
          <w:ilvl w:val="1"/>
          <w:numId w:val="2"/>
        </w:numPr>
      </w:pPr>
      <w:r>
        <w:rPr>
          <w:rStyle w:val="MdCode"/>
          <w:u w:val="single"/>
        </w:rPr>
        <w:t xml:space="preserve">~90% faster</w:t>
      </w:r>
      <w:r>
        <w:t xml:space="preserve"> — a 2-hour manual declaration becomes an 8–15 minute workflow</w:t>
      </w:r>
    </w:p>
    <w:p>
      <w:pPr>
        <w:pStyle w:val="MdListItem"/>
        <w:numPr>
          <w:ilvl w:val="1"/>
          <w:numId w:val="2"/>
        </w:numPr>
      </w:pPr>
      <w:r>
        <w:rPr>
          <w:rStyle w:val="MdCode"/>
          <w:u w:val="single"/>
        </w:rPr>
        <w:t xml:space="preserve">Scale without headcount</w:t>
      </w:r>
      <w:r>
        <w:t xml:space="preserve"> — automate the routine 95%; the same team handles far more</w:t>
      </w:r>
    </w:p>
    <w:p>
      <w:pPr>
        <w:pStyle w:val="MdListItem"/>
        <w:numPr>
          <w:ilvl w:val="1"/>
          <w:numId w:val="2"/>
        </w:numPr>
      </w:pPr>
      <w:r>
        <w:rPr>
          <w:rStyle w:val="MdCode"/>
          <w:u w:val="single"/>
        </w:rPr>
        <w:t xml:space="preserve">Bankable compliance rating (roadmap)</w:t>
      </w:r>
      <w:r>
        <w:t xml:space="preserve"> — a verified shipment history banks and insurers can underwrite; compliance becomes a financial asset</w:t>
      </w:r>
    </w:p>
    <w:p>
      <w:pPr>
        <w:pStyle w:val="MdListItem"/>
        <w:numPr>
          <w:ilvl w:val="1"/>
          <w:numId w:val="2"/>
        </w:numPr>
      </w:pPr>
      <w:r>
        <w:rPr>
          <w:rStyle w:val="MdCode"/>
          <w:u w:val="single"/>
        </w:rPr>
        <w:t xml:space="preserve">Audited chemistry</w:t>
      </w:r>
      <w:r>
        <w:t xml:space="preserve"> — the only platform that proves preferential origin by reading the Mill-Test-Certificate (melt &amp; pour) under rules like TCA ORIG.19</w:t>
      </w:r>
    </w:p>
    <w:p>
      <w:pPr>
        <w:pStyle w:val="MdSpace"/>
        <w:spacing w:before="0" w:after="60"/>
      </w:pPr>
    </w:p>
    <w:p>
      <w:pPr>
        <w:pStyle w:val="Heading3"/>
        <w:pStyle w:val="MdHeading3"/>
      </w:pPr>
      <w:r>
        <w:t xml:space="preserve">6.3. PM Note</w:t>
      </w:r>
    </w:p>
    <w:p>
      <w:pPr>
        <w:pStyle w:val="MdParagraph"/>
      </w:pPr>
      <w:r>
        <w:t xml:space="preserve">The claims "90% faster / 8–15 min" and "scale without headcount" are target claims based on workflow design and should be marked as such until validated with customer data. "Bankable compliance rating" should be clearly labeled as a roadmap item. Transparency and honesty are crucial for the brand; no unproven hard numbers should be stated as fact.</w:t>
      </w:r>
    </w:p>
    <w:p>
      <w:pPr>
        <w:pStyle w:val="MdSpace"/>
        <w:spacing w:before="0" w:after="60"/>
      </w:pPr>
    </w:p>
    <w:p>
      <w:pPr>
        <w:pStyle w:val="Heading2"/>
        <w:pStyle w:val="MdHeading2"/>
      </w:pPr>
      <w:r>
        <w:t xml:space="preserve">7. Section 5: TradeWatch</w:t>
      </w:r>
    </w:p>
    <w:p>
      <w:pPr>
        <w:pStyle w:val="Heading3"/>
        <w:pStyle w:val="MdHeading3"/>
      </w:pPr>
      <w:r>
        <w:t xml:space="preserve">7.1. Purpose</w:t>
      </w:r>
    </w:p>
    <w:p>
      <w:pPr>
        <w:pStyle w:val="MdParagraph"/>
      </w:pPr>
      <w:r>
        <w:t xml:space="preserve">To highlight Veritariff's proactive regulatory monitoring capabilities, helping users stay informed and avoid compliance issues.</w:t>
      </w:r>
    </w:p>
    <w:p>
      <w:pPr>
        <w:pStyle w:val="MdSpace"/>
        <w:spacing w:before="0" w:after="60"/>
      </w:pPr>
    </w:p>
    <w:p>
      <w:pPr>
        <w:pStyle w:val="Heading3"/>
        <w:pStyle w:val="MdHeading3"/>
      </w:pPr>
      <w:r>
        <w:t xml:space="preserve">7.2. Content</w:t>
      </w:r>
    </w:p>
    <w:p>
      <w:pPr>
        <w:pStyle w:val="MdListItem"/>
        <w:numPr>
          <w:ilvl w:val="0"/>
          <w:numId w:val="2"/>
        </w:numPr>
      </w:pPr>
      <w:r>
        <w:rPr>
          <w:rStyle w:val="MdStrong"/>
          <w:b/>
          <w:bCs/>
        </w:rPr>
        <w:t xml:space="preserve">Headline</w:t>
      </w:r>
      <w:r>
        <w:t xml:space="preserve">: Get ahead of the news — and out of the panic.</w:t>
      </w:r>
    </w:p>
    <w:p>
      <w:pPr>
        <w:pStyle w:val="MdListItem"/>
        <w:numPr>
          <w:ilvl w:val="0"/>
          <w:numId w:val="2"/>
        </w:numPr>
      </w:pPr>
      <w:r>
        <w:rPr>
          <w:rStyle w:val="MdStrong"/>
          <w:b/>
          <w:bCs/>
        </w:rPr>
        <w:t xml:space="preserve">Sub-heading</w:t>
      </w:r>
      <w:r>
        <w:t xml:space="preserve">: TradeWatch tells you what every change actually does to your shipment — in plain English, before it becomes a problem. It watches the noise so you don't have to:</w:t>
      </w:r>
    </w:p>
    <w:p>
      <w:pPr>
        <w:pStyle w:val="MdListItem"/>
        <w:numPr>
          <w:ilvl w:val="1"/>
          <w:numId w:val="2"/>
        </w:numPr>
      </w:pPr>
      <w:r>
        <w:t xml:space="preserve">News effect — a new tariff, sanction or rule, and exactly what it means for your duty and origin</w:t>
      </w:r>
    </w:p>
    <w:p>
      <w:pPr>
        <w:pStyle w:val="MdListItem"/>
        <w:numPr>
          <w:ilvl w:val="1"/>
          <w:numId w:val="2"/>
        </w:numPr>
      </w:pPr>
      <w:r>
        <w:t xml:space="preserve">CDS release effect — when HMRC changes CDS, what it does to your declarations</w:t>
      </w:r>
    </w:p>
    <w:p>
      <w:pPr>
        <w:pStyle w:val="MdListItem"/>
        <w:numPr>
          <w:ilvl w:val="1"/>
          <w:numId w:val="2"/>
        </w:numPr>
      </w:pPr>
      <w:r>
        <w:t xml:space="preserve">CDS error explainer — paste a rejection, get the plain-English cause and the fix</w:t>
      </w:r>
    </w:p>
    <w:p>
      <w:pPr>
        <w:pStyle w:val="MdListItem"/>
        <w:numPr>
          <w:ilvl w:val="1"/>
          <w:numId w:val="2"/>
        </w:numPr>
      </w:pPr>
      <w:r>
        <w:t xml:space="preserve">HMRC availability monitor — is the system down, or is it you? Know instantly</w:t>
      </w:r>
    </w:p>
    <w:p>
      <w:pPr>
        <w:pStyle w:val="MdSpace"/>
        <w:spacing w:before="0" w:after="60"/>
      </w:pPr>
    </w:p>
    <w:p>
      <w:pPr>
        <w:pStyle w:val="Heading2"/>
        <w:pStyle w:val="MdHeading2"/>
      </w:pPr>
      <w:r>
        <w:t xml:space="preserve">8. Section 6: TradeHub</w:t>
      </w:r>
    </w:p>
    <w:p>
      <w:pPr>
        <w:pStyle w:val="Heading3"/>
        <w:pStyle w:val="MdHeading3"/>
      </w:pPr>
      <w:r>
        <w:t xml:space="preserve">8.1. Purpose</w:t>
      </w:r>
    </w:p>
    <w:p>
      <w:pPr>
        <w:pStyle w:val="MdParagraph"/>
      </w:pPr>
      <w:r>
        <w:t xml:space="preserve">To articulate the future vision and ambition for Veritariff as a comprehensive trade platform.</w:t>
      </w:r>
    </w:p>
    <w:p>
      <w:pPr>
        <w:pStyle w:val="MdSpace"/>
        <w:spacing w:before="0" w:after="60"/>
      </w:pPr>
    </w:p>
    <w:p>
      <w:pPr>
        <w:pStyle w:val="Heading3"/>
        <w:pStyle w:val="MdHeading3"/>
      </w:pPr>
      <w:r>
        <w:t xml:space="preserve">8.2. Content</w:t>
      </w:r>
    </w:p>
    <w:p>
      <w:pPr>
        <w:pStyle w:val="MdListItem"/>
        <w:numPr>
          <w:ilvl w:val="0"/>
          <w:numId w:val="2"/>
        </w:numPr>
      </w:pPr>
      <w:r>
        <w:rPr>
          <w:rStyle w:val="MdStrong"/>
          <w:b/>
          <w:bCs/>
        </w:rPr>
        <w:t xml:space="preserve">Headline</w:t>
      </w:r>
      <w:r>
        <w:t xml:space="preserve">: Where it's going: your whole trade, in one place.</w:t>
      </w:r>
    </w:p>
    <w:p>
      <w:pPr>
        <w:pStyle w:val="MdListItem"/>
        <w:numPr>
          <w:ilvl w:val="0"/>
          <w:numId w:val="2"/>
        </w:numPr>
      </w:pPr>
      <w:r>
        <w:rPr>
          <w:rStyle w:val="MdStrong"/>
          <w:b/>
          <w:bCs/>
        </w:rPr>
        <w:t xml:space="preserve">Sub-heading</w:t>
      </w:r>
      <w:r>
        <w:t xml:space="preserve">: As the network grows, Veritariff connects you to verified suppliers, importers, forwarders and warehouses — and transacts with your compliance record already attached. Source from suppliers whose CBAM and origin data is already in the system: the hustle days of begging a supplier for the data you need are over. The first trade platform where being compliant is the advantage.</w:t>
      </w:r>
    </w:p>
    <w:p>
      <w:pPr>
        <w:pStyle w:val="MdListItem"/>
        <w:numPr>
          <w:ilvl w:val="0"/>
          <w:numId w:val="2"/>
        </w:numPr>
      </w:pPr>
      <w:r>
        <w:rPr>
          <w:rStyle w:val="MdStrong"/>
          <w:b/>
          <w:bCs/>
        </w:rPr>
        <w:t xml:space="preserve">Tag</w:t>
      </w:r>
      <w:r>
        <w:t xml:space="preserve">: </w:t>
      </w:r>
      <w:r>
        <w:rPr>
          <w:rStyle w:val="MdCode"/>
          <w:u w:val="single"/>
        </w:rPr>
        <w:t xml:space="preserve">On the roadmap</w:t>
      </w:r>
      <w:r>
        <w:t xml:space="preserve"> (must be clearly visible).</w:t>
      </w:r>
    </w:p>
    <w:p>
      <w:pPr>
        <w:pStyle w:val="MdListItem"/>
        <w:numPr>
          <w:ilvl w:val="0"/>
          <w:numId w:val="2"/>
        </w:numPr>
      </w:pPr>
      <w:r>
        <w:rPr>
          <w:rStyle w:val="MdStrong"/>
          <w:b/>
          <w:bCs/>
        </w:rPr>
        <w:t xml:space="preserve">Visual</w:t>
      </w:r>
      <w:r>
        <w:t xml:space="preserve">: The Trade Hub / map view.</w:t>
      </w:r>
    </w:p>
    <w:p>
      <w:pPr>
        <w:pStyle w:val="MdSpace"/>
        <w:spacing w:before="0" w:after="60"/>
      </w:pPr>
    </w:p>
    <w:p>
      <w:pPr>
        <w:pStyle w:val="Heading2"/>
        <w:pStyle w:val="MdHeading2"/>
      </w:pPr>
      <w:r>
        <w:t xml:space="preserve">9. Section 7: Manifesto</w:t>
      </w:r>
    </w:p>
    <w:p>
      <w:pPr>
        <w:pStyle w:val="Heading3"/>
        <w:pStyle w:val="MdHeading3"/>
      </w:pPr>
      <w:r>
        <w:t xml:space="preserve">9.1. Purpose</w:t>
      </w:r>
    </w:p>
    <w:p>
      <w:pPr>
        <w:pStyle w:val="MdParagraph"/>
      </w:pPr>
      <w:r>
        <w:t xml:space="preserve">To create an emotional connection with the audience and convey Veritariff's underlying philosophy.</w:t>
      </w:r>
    </w:p>
    <w:p>
      <w:pPr>
        <w:pStyle w:val="MdSpace"/>
        <w:spacing w:before="0" w:after="60"/>
      </w:pPr>
    </w:p>
    <w:p>
      <w:pPr>
        <w:pStyle w:val="Heading3"/>
        <w:pStyle w:val="MdHeading3"/>
      </w:pPr>
      <w:r>
        <w:t xml:space="preserve">9.2. Content</w:t>
      </w:r>
    </w:p>
    <w:p>
      <w:pPr>
        <w:pStyle w:val="MdListItem"/>
        <w:numPr>
          <w:ilvl w:val="0"/>
          <w:numId w:val="2"/>
        </w:numPr>
      </w:pPr>
      <w:r>
        <w:rPr>
          <w:rStyle w:val="MdStrong"/>
          <w:b/>
          <w:bCs/>
        </w:rPr>
        <w:t xml:space="preserve">Headline</w:t>
      </w:r>
      <w:r>
        <w:t xml:space="preserve">: The world is loud. This is the calm.</w:t>
      </w:r>
    </w:p>
    <w:p>
      <w:pPr>
        <w:pStyle w:val="MdListItem"/>
        <w:numPr>
          <w:ilvl w:val="0"/>
          <w:numId w:val="2"/>
        </w:numPr>
      </w:pPr>
      <w:r>
        <w:rPr>
          <w:rStyle w:val="MdStrong"/>
          <w:b/>
          <w:bCs/>
        </w:rPr>
        <w:t xml:space="preserve">Sub-heading</w:t>
      </w:r>
      <w:r>
        <w:t xml:space="preserve">: We're building the door we wish we'd had — so that moving goods across a border is something anyone can do, just by stepping toward it. Clearly. Without fear.</w:t>
      </w:r>
    </w:p>
    <w:p>
      <w:pPr>
        <w:pStyle w:val="MdListItem"/>
        <w:numPr>
          <w:ilvl w:val="0"/>
          <w:numId w:val="2"/>
        </w:numPr>
      </w:pPr>
      <w:r>
        <w:rPr>
          <w:rStyle w:val="MdStrong"/>
          <w:b/>
          <w:bCs/>
        </w:rPr>
        <w:t xml:space="preserve">Kicker</w:t>
      </w:r>
      <w:r>
        <w:t xml:space="preserve">: No barrier.</w:t>
      </w:r>
    </w:p>
    <w:p>
      <w:pPr>
        <w:pStyle w:val="MdSpace"/>
        <w:spacing w:before="0" w:after="60"/>
      </w:pPr>
    </w:p>
    <w:p>
      <w:pPr>
        <w:pStyle w:val="Heading2"/>
        <w:pStyle w:val="MdHeading2"/>
      </w:pPr>
      <w:r>
        <w:t xml:space="preserve">10. Section 8: Founding Partners + Final CTA</w:t>
      </w:r>
    </w:p>
    <w:p>
      <w:pPr>
        <w:pStyle w:val="Heading3"/>
        <w:pStyle w:val="MdHeading3"/>
      </w:pPr>
      <w:r>
        <w:t xml:space="preserve">10.1. Purpose</w:t>
      </w:r>
    </w:p>
    <w:p>
      <w:pPr>
        <w:pStyle w:val="MdParagraph"/>
      </w:pPr>
      <w:r>
        <w:t xml:space="preserve">To leverage social proof from early partners and provide clear calls to action for early access and feedback.</w:t>
      </w:r>
    </w:p>
    <w:p>
      <w:pPr>
        <w:pStyle w:val="MdSpace"/>
        <w:spacing w:before="0" w:after="60"/>
      </w:pPr>
    </w:p>
    <w:p>
      <w:pPr>
        <w:pStyle w:val="Heading3"/>
        <w:pStyle w:val="MdHeading3"/>
      </w:pPr>
      <w:r>
        <w:t xml:space="preserve">10.2. Content</w:t>
      </w:r>
    </w:p>
    <w:p>
      <w:pPr>
        <w:pStyle w:val="MdListItem"/>
        <w:numPr>
          <w:ilvl w:val="0"/>
          <w:numId w:val="2"/>
        </w:numPr>
      </w:pPr>
      <w:r>
        <w:rPr>
          <w:rStyle w:val="MdStrong"/>
          <w:b/>
          <w:bCs/>
        </w:rPr>
        <w:t xml:space="preserve">Founding-partner logo wall</w:t>
      </w:r>
      <w:r>
        <w:t xml:space="preserve">: A strip of early-partner logos under the line "Shaped with our founding partners."</w:t>
      </w:r>
    </w:p>
    <w:p>
      <w:pPr>
        <w:pStyle w:val="MdListItem"/>
        <w:numPr>
          <w:ilvl w:val="0"/>
          <w:numId w:val="2"/>
        </w:numPr>
      </w:pPr>
      <w:r>
        <w:rPr>
          <w:rStyle w:val="MdStrong"/>
          <w:b/>
          <w:bCs/>
        </w:rPr>
        <w:t xml:space="preserve">Feedback section</w:t>
      </w:r>
      <w:r>
        <w:t xml:space="preserve">: "Have a view on what trade compliance should be? Shape it with us." A short "Share your feedback" prompt. The offer is explicit: give feedback → become a founding partner → your logo joins the wall, and you get first access to everything.</w:t>
      </w:r>
    </w:p>
    <w:p>
      <w:pPr>
        <w:pStyle w:val="MdListItem"/>
        <w:numPr>
          <w:ilvl w:val="0"/>
          <w:numId w:val="2"/>
        </w:numPr>
      </w:pPr>
      <w:r>
        <w:rPr>
          <w:rStyle w:val="MdStrong"/>
          <w:b/>
          <w:bCs/>
        </w:rPr>
        <w:t xml:space="preserve">Headline</w:t>
      </w:r>
      <w:r>
        <w:t xml:space="preserve">: Ready when you are.</w:t>
      </w:r>
    </w:p>
    <w:p>
      <w:pPr>
        <w:pStyle w:val="MdListItem"/>
        <w:numPr>
          <w:ilvl w:val="0"/>
          <w:numId w:val="2"/>
        </w:numPr>
      </w:pPr>
      <w:r>
        <w:rPr>
          <w:rStyle w:val="MdStrong"/>
          <w:b/>
          <w:bCs/>
        </w:rPr>
        <w:t xml:space="preserve">Primary CTA</w:t>
      </w:r>
      <w:r>
        <w:t xml:space="preserve">: </w:t>
      </w:r>
      <w:r>
        <w:rPr>
          <w:rStyle w:val="MdCode"/>
          <w:u w:val="single"/>
        </w:rPr>
        <w:t xml:space="preserve">Get early access / Become a design partner</w:t>
      </w:r>
      <w:r>
        <w:t xml:space="preserve"> (same button style as the hero).</w:t>
      </w:r>
    </w:p>
    <w:p>
      <w:pPr>
        <w:pStyle w:val="MdListItem"/>
        <w:numPr>
          <w:ilvl w:val="0"/>
          <w:numId w:val="2"/>
        </w:numPr>
      </w:pPr>
      <w:r>
        <w:rPr>
          <w:rStyle w:val="MdStrong"/>
          <w:b/>
          <w:bCs/>
        </w:rPr>
        <w:t xml:space="preserve">Secondary CTA</w:t>
      </w:r>
      <w:r>
        <w:t xml:space="preserve">: </w:t>
      </w:r>
      <w:r>
        <w:rPr>
          <w:rStyle w:val="MdCode"/>
          <w:u w:val="single"/>
        </w:rPr>
        <w:t xml:space="preserve">View the V1→V5 roadmap</w:t>
      </w:r>
      <w:r>
        <w:t xml:space="preserve">.</w:t>
      </w:r>
    </w:p>
    <w:p>
      <w:pPr>
        <w:pStyle w:val="MdSpace"/>
        <w:spacing w:before="0" w:after="60"/>
      </w:pPr>
    </w:p>
    <w:p>
      <w:pPr>
        <w:pStyle w:val="Heading2"/>
        <w:pStyle w:val="MdHeading2"/>
      </w:pPr>
      <w:r>
        <w:t xml:space="preserve">11. Section 9: Footer</w:t>
      </w:r>
    </w:p>
    <w:p>
      <w:pPr>
        <w:pStyle w:val="Heading3"/>
        <w:pStyle w:val="MdHeading3"/>
      </w:pPr>
      <w:r>
        <w:t xml:space="preserve">11.1. Purpose</w:t>
      </w:r>
    </w:p>
    <w:p>
      <w:pPr>
        <w:pStyle w:val="MdParagraph"/>
      </w:pPr>
      <w:r>
        <w:t xml:space="preserve">To provide standard navigation, legal information, and reinforce the brand tagline.</w:t>
      </w:r>
    </w:p>
    <w:p>
      <w:pPr>
        <w:pStyle w:val="MdSpace"/>
        <w:spacing w:before="0" w:after="60"/>
      </w:pPr>
    </w:p>
    <w:p>
      <w:pPr>
        <w:pStyle w:val="Heading3"/>
        <w:pStyle w:val="MdHeading3"/>
      </w:pPr>
      <w:r>
        <w:t xml:space="preserve">11.2. Content</w:t>
      </w:r>
    </w:p>
    <w:p>
      <w:pPr>
        <w:pStyle w:val="MdListItem"/>
        <w:numPr>
          <w:ilvl w:val="0"/>
          <w:numId w:val="2"/>
        </w:numPr>
      </w:pPr>
      <w:r>
        <w:rPr>
          <w:rStyle w:val="MdStrong"/>
          <w:b/>
          <w:bCs/>
        </w:rPr>
        <w:t xml:space="preserve">Standard links</w:t>
      </w:r>
      <w:r>
        <w:t xml:space="preserve">: About Veritariff · The mission ("trade, without the barrier") · Privacy Policy · Terms · Contact.</w:t>
      </w:r>
    </w:p>
    <w:p>
      <w:pPr>
        <w:pStyle w:val="MdListItem"/>
        <w:numPr>
          <w:ilvl w:val="0"/>
          <w:numId w:val="2"/>
        </w:numPr>
      </w:pPr>
      <w:r>
        <w:rPr>
          <w:rStyle w:val="MdStrong"/>
          <w:b/>
          <w:bCs/>
        </w:rPr>
        <w:t xml:space="preserve">Tagline lockup</w:t>
      </w:r>
      <w:r>
        <w:t xml:space="preserve">: Global trade, finally clear.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Author</w:t>
      </w:r>
      <w:r>
        <w:t xml:space="preserve">: Manus AI
</w:t>
      </w:r>
      <w:r>
        <w:rPr>
          <w:rStyle w:val="MdStrong"/>
          <w:b/>
          <w:bCs/>
        </w:rPr>
        <w:t xml:space="preserve">Date</w:t>
      </w:r>
      <w:r>
        <w:t xml:space="preserve">: July 13,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2026-07-13T09:05:15.264Z</dcterms:created>
  <dcterms:modified xsi:type="dcterms:W3CDTF">2026-07-13T09:05:15.264Z</dcterms:modified>
</cp:coreProperties>
</file>

<file path=docProps/custom.xml><?xml version="1.0" encoding="utf-8"?>
<Properties xmlns="http://schemas.openxmlformats.org/officeDocument/2006/custom-properties" xmlns:vt="http://schemas.openxmlformats.org/officeDocument/2006/docPropsVTypes"/>
</file>