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spacing w:before="0" w:after="12"/>
      </w:pPr>
      <w:r>
        <w:rPr>
          <w:rFonts w:ascii="Calibri" w:hAnsi="Calibri"/>
          <w:b/>
          <w:color w:val="1E40AF"/>
          <w:sz w:val="52"/>
        </w:rPr>
        <w:t>Technical Specification Document — Smart Amount Suggestion for Payments</w:t>
      </w:r>
    </w:p>
    <w:p>
      <w:pPr>
        <w:jc w:val="center"/>
        <w:spacing w:before="0" w:after="8"/>
      </w:pPr>
      <w:r>
        <w:rPr>
          <w:rFonts w:ascii="Calibri" w:hAnsi="Calibri"/>
          <w:b w:val="0"/>
          <w:color w:val="1E3A5F"/>
          <w:sz w:val="36"/>
        </w:rPr>
        <w:t>Product: ### 1. Feature The **Dynamic Amount‑Suggestion**</w:t>
        <w:br/>
        <w:br/>
        <w:t>Product Canvas Summary:</w:t>
        <w:br/>
        <w:br/>
        <w:t>## Feature</w:t>
        <w:br/>
        <w:t>The **Dynamic Amount‑Sugg</w:t>
      </w:r>
    </w:p>
    <w:p>
      <w:pPr>
        <w:jc w:val="center"/>
        <w:spacing w:before="0" w:after="6"/>
      </w:pPr>
      <w:r>
        <w:rPr>
          <w:rFonts w:ascii="Calibri" w:hAnsi="Calibri"/>
          <w:b/>
          <w:color w:val="374151"/>
          <w:sz w:val="28"/>
        </w:rPr>
        <w:t>TSD</w:t>
      </w:r>
    </w:p>
    <w:p>
      <w:pPr>
        <w:jc w:val="center"/>
        <w:spacing w:before="0" w:after="24"/>
      </w:pPr>
      <w:r>
        <w:rPr>
          <w:rFonts w:ascii="Calibri" w:hAnsi="Calibri"/>
          <w:color w:val="374151"/>
          <w:sz w:val="24"/>
        </w:rPr>
        <w:t>Version 1.0  |  Draft / Confidential</w:t>
      </w:r>
    </w:p>
    <w:p>
      <w:r>
        <w:br w:type="page"/>
      </w:r>
    </w:p>
    <w:p>
      <w:pPr>
        <w:jc w:val="center"/>
        <w:spacing w:before="0" w:after="10"/>
      </w:pPr>
      <w:r>
        <w:rPr>
          <w:b/>
          <w:color w:val="1E40AF"/>
          <w:sz w:val="28"/>
        </w:rPr>
        <w:t>Revision History</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val="clear" w:color="auto" w:fill="1D4ED8"/>
            <w:tcMar>
              <w:top w:w="60" w:type="dxa"/>
              <w:bottom w:w="60" w:type="dxa"/>
              <w:left w:w="108" w:type="dxa"/>
              <w:right w:w="108" w:type="dxa"/>
            </w:tcMar>
          </w:tcPr>
          <w:p>
            <w:pPr>
              <w:jc w:val="center"/>
            </w:pPr>
            <w:r>
              <w:rPr>
                <w:rFonts w:ascii="Calibri" w:hAnsi="Calibri"/>
                <w:b/>
                <w:color w:val="FFFFFF"/>
                <w:sz w:val="20"/>
              </w:rPr>
              <w:t>Sr. No.</w:t>
            </w:r>
          </w:p>
        </w:tc>
        <w:tc>
          <w:tcPr>
            <w:tcW w:type="dxa" w:w="1872"/>
            <w:shd w:val="clear" w:color="auto" w:fill="1D4ED8"/>
            <w:tcMar>
              <w:top w:w="60" w:type="dxa"/>
              <w:bottom w:w="60" w:type="dxa"/>
              <w:left w:w="108" w:type="dxa"/>
              <w:right w:w="108" w:type="dxa"/>
            </w:tcMar>
          </w:tcPr>
          <w:p>
            <w:pPr>
              <w:jc w:val="center"/>
            </w:pPr>
            <w:r>
              <w:rPr>
                <w:rFonts w:ascii="Calibri" w:hAnsi="Calibri"/>
                <w:b/>
                <w:color w:val="FFFFFF"/>
                <w:sz w:val="20"/>
              </w:rPr>
              <w:t>Version</w:t>
            </w:r>
          </w:p>
        </w:tc>
        <w:tc>
          <w:tcPr>
            <w:tcW w:type="dxa" w:w="1872"/>
            <w:shd w:val="clear" w:color="auto" w:fill="1D4ED8"/>
            <w:tcMar>
              <w:top w:w="60" w:type="dxa"/>
              <w:bottom w:w="60" w:type="dxa"/>
              <w:left w:w="108" w:type="dxa"/>
              <w:right w:w="108" w:type="dxa"/>
            </w:tcMar>
          </w:tcPr>
          <w:p>
            <w:pPr>
              <w:jc w:val="center"/>
            </w:pPr>
            <w:r>
              <w:rPr>
                <w:rFonts w:ascii="Calibri" w:hAnsi="Calibri"/>
                <w:b/>
                <w:color w:val="FFFFFF"/>
                <w:sz w:val="20"/>
              </w:rPr>
              <w:t>Document Name</w:t>
            </w:r>
          </w:p>
        </w:tc>
        <w:tc>
          <w:tcPr>
            <w:tcW w:type="dxa" w:w="1872"/>
            <w:shd w:val="clear" w:color="auto" w:fill="1D4ED8"/>
            <w:tcMar>
              <w:top w:w="60" w:type="dxa"/>
              <w:bottom w:w="60" w:type="dxa"/>
              <w:left w:w="108" w:type="dxa"/>
              <w:right w:w="108" w:type="dxa"/>
            </w:tcMar>
          </w:tcPr>
          <w:p>
            <w:pPr>
              <w:jc w:val="center"/>
            </w:pPr>
            <w:r>
              <w:rPr>
                <w:rFonts w:ascii="Calibri" w:hAnsi="Calibri"/>
                <w:b/>
                <w:color w:val="FFFFFF"/>
                <w:sz w:val="20"/>
              </w:rPr>
              <w:t>Date of Change</w:t>
            </w:r>
          </w:p>
        </w:tc>
        <w:tc>
          <w:tcPr>
            <w:tcW w:type="dxa" w:w="1872"/>
            <w:shd w:val="clear" w:color="auto" w:fill="1D4ED8"/>
            <w:tcMar>
              <w:top w:w="60" w:type="dxa"/>
              <w:bottom w:w="60" w:type="dxa"/>
              <w:left w:w="108" w:type="dxa"/>
              <w:right w:w="108" w:type="dxa"/>
            </w:tcMar>
          </w:tcPr>
          <w:p>
            <w:pPr>
              <w:jc w:val="center"/>
            </w:pPr>
            <w:r>
              <w:rPr>
                <w:rFonts w:ascii="Calibri" w:hAnsi="Calibri"/>
                <w:b/>
                <w:color w:val="FFFFFF"/>
                <w:sz w:val="20"/>
              </w:rPr>
              <w:t>Remarks</w:t>
            </w:r>
          </w:p>
        </w:tc>
      </w:tr>
      <w:tr>
        <w:tc>
          <w:tcPr>
            <w:tcW w:type="dxa" w:w="1872"/>
            <w:shd w:val="clear" w:color="auto" w:fill="DBEAFE"/>
            <w:tcMar>
              <w:top w:w="60" w:type="dxa"/>
              <w:bottom w:w="60" w:type="dxa"/>
              <w:left w:w="108" w:type="dxa"/>
              <w:right w:w="108" w:type="dxa"/>
            </w:tcMar>
          </w:tcPr>
          <w:p>
            <w:pPr>
              <w:jc w:val="center"/>
            </w:pPr>
            <w:r>
              <w:rPr>
                <w:rFonts w:ascii="Calibri" w:hAnsi="Calibri"/>
                <w:sz w:val="20"/>
              </w:rPr>
              <w:t>1</w:t>
            </w:r>
          </w:p>
        </w:tc>
        <w:tc>
          <w:tcPr>
            <w:tcW w:type="dxa" w:w="1872"/>
            <w:shd w:val="clear" w:color="auto" w:fill="DBEAFE"/>
            <w:tcMar>
              <w:top w:w="60" w:type="dxa"/>
              <w:bottom w:w="60" w:type="dxa"/>
              <w:left w:w="108" w:type="dxa"/>
              <w:right w:w="108" w:type="dxa"/>
            </w:tcMar>
          </w:tcPr>
          <w:p>
            <w:pPr>
              <w:jc w:val="center"/>
            </w:pPr>
            <w:r>
              <w:rPr>
                <w:rFonts w:ascii="Calibri" w:hAnsi="Calibri"/>
                <w:sz w:val="20"/>
              </w:rPr>
              <w:t>1.0</w:t>
            </w:r>
          </w:p>
        </w:tc>
        <w:tc>
          <w:tcPr>
            <w:tcW w:type="dxa" w:w="1872"/>
            <w:shd w:val="clear" w:color="auto" w:fill="DBEAFE"/>
            <w:tcMar>
              <w:top w:w="60" w:type="dxa"/>
              <w:bottom w:w="60" w:type="dxa"/>
              <w:left w:w="108" w:type="dxa"/>
              <w:right w:w="108" w:type="dxa"/>
            </w:tcMar>
          </w:tcPr>
          <w:p>
            <w:pPr>
              <w:jc w:val="center"/>
            </w:pPr>
            <w:r>
              <w:rPr>
                <w:rFonts w:ascii="Calibri" w:hAnsi="Calibri"/>
                <w:sz w:val="20"/>
              </w:rPr>
              <w:t>Technical Specification Document</w:t>
            </w:r>
          </w:p>
        </w:tc>
        <w:tc>
          <w:tcPr>
            <w:tcW w:type="dxa" w:w="1872"/>
            <w:shd w:val="clear" w:color="auto" w:fill="DBEAFE"/>
            <w:tcMar>
              <w:top w:w="60" w:type="dxa"/>
              <w:bottom w:w="60" w:type="dxa"/>
              <w:left w:w="108" w:type="dxa"/>
              <w:right w:w="108" w:type="dxa"/>
            </w:tcMar>
          </w:tcPr>
          <w:p>
            <w:pPr>
              <w:jc w:val="center"/>
            </w:pPr>
            <w:r>
              <w:rPr>
                <w:rFonts w:ascii="Calibri" w:hAnsi="Calibri"/>
                <w:sz w:val="20"/>
              </w:rPr>
              <w:t>20 April 2026</w:t>
            </w:r>
          </w:p>
        </w:tc>
        <w:tc>
          <w:tcPr>
            <w:tcW w:type="dxa" w:w="1872"/>
            <w:shd w:val="clear" w:color="auto" w:fill="DBEAFE"/>
            <w:tcMar>
              <w:top w:w="60" w:type="dxa"/>
              <w:bottom w:w="60" w:type="dxa"/>
              <w:left w:w="108" w:type="dxa"/>
              <w:right w:w="108" w:type="dxa"/>
            </w:tcMar>
          </w:tcPr>
          <w:p>
            <w:pPr>
              <w:jc w:val="center"/>
            </w:pPr>
            <w:r>
              <w:rPr>
                <w:rFonts w:ascii="Calibri" w:hAnsi="Calibri"/>
                <w:sz w:val="20"/>
              </w:rPr>
              <w:t>Initial draft</w:t>
            </w:r>
          </w:p>
        </w:tc>
      </w:tr>
      <w:tr>
        <w:tc>
          <w:tcPr>
            <w:tcW w:type="dxa" w:w="1872"/>
          </w:tcPr>
          <w:p/>
        </w:tc>
        <w:tc>
          <w:tcPr>
            <w:tcW w:type="dxa" w:w="1872"/>
          </w:tcPr>
          <w:p/>
        </w:tc>
        <w:tc>
          <w:tcPr>
            <w:tcW w:type="dxa" w:w="1872"/>
          </w:tcPr>
          <w:p/>
        </w:tc>
        <w:tc>
          <w:tcPr>
            <w:tcW w:type="dxa" w:w="1872"/>
          </w:tcPr>
          <w:p/>
        </w:tc>
        <w:tc>
          <w:tcPr>
            <w:tcW w:type="dxa" w:w="1872"/>
          </w:tcPr>
          <w:p/>
        </w:tc>
      </w:tr>
    </w:tbl>
    <w:p>
      <w:r>
        <w:br w:type="page"/>
      </w:r>
    </w:p>
    <w:p>
      <w:pPr>
        <w:pStyle w:val="TOCHeading"/>
        <w:jc w:val="left"/>
        <w:pBdr>
          <w:bottom w:val="single" w:sz="6" w:space="1" w:color="1E40AF"/>
        </w:pBdr>
      </w:pPr>
      <w:r>
        <w:t>Table of Contents</w:t>
      </w:r>
    </w:p>
    <w:p>
      <w:pPr>
        <w:jc w:val="left"/>
        <w:spacing w:before="0" w:after="0"/>
      </w:pPr>
      <w:r>
        <w:fldChar w:fldCharType="begin"/>
        <w:instrText xml:space="preserve">TOC \o "1-3" \h \z \u</w:instrText>
        <w:fldChar w:fldCharType="separate"/>
        <w:t>Update field to refresh entries and page numbers.</w:t>
        <w:fldChar w:fldCharType="end"/>
      </w:r>
    </w:p>
    <w:p>
      <w:r>
        <w:br w:type="page"/>
      </w:r>
    </w:p>
    <w:p>
      <w:pPr>
        <w:pStyle w:val="Heading1"/>
        <w:spacing w:before="18" w:after="6"/>
      </w:pPr>
      <w:r>
        <w:t>Background</w:t>
      </w:r>
    </w:p>
    <w:p>
      <w:pPr>
        <w:spacing w:before="0" w:after="8"/>
      </w:pPr>
      <w:r>
        <w:rPr>
          <w:rFonts w:ascii="Calibri" w:hAnsi="Calibri"/>
          <w:color w:val="0A0A0A"/>
          <w:sz w:val="22"/>
        </w:rPr>
        <w:t>Today a UPI payment follows a fixed API sequence. The payer PSP sends a ReqPay to NPCI, NPCI requests authentication details from the payee PSP, the payee returns RESP_AUTH_DETAILS, and finally the payer PSP confirms the transaction. The transaction amount is supplied by the user at the UI layer and is validated only against the static per‑transaction limits (₹15,000 for standard UPI, ₹500 for UPI‑Lite) and daily aggregate limits. No protocol‑level mechanism exists to suggest amounts.</w:t>
      </w:r>
    </w:p>
    <w:p>
      <w:pPr>
        <w:spacing w:before="0" w:after="8"/>
      </w:pPr>
      <w:r>
        <w:rPr>
          <w:rFonts w:ascii="Calibri" w:hAnsi="Calibri"/>
          <w:color w:val="0A0A0A"/>
          <w:sz w:val="22"/>
        </w:rPr>
        <w:t>Manual entry of the amount adds latency and introduces a measurable typographical error rate. Payers cannot quickly select amounts they historically use for a given payee VPA, causing friction especially for repeat contacts or merchant payments. This gap limits the user experience and reduces transaction efficiency across the ecosystem.</w:t>
      </w:r>
    </w:p>
    <w:p>
      <w:pPr>
        <w:spacing w:before="0" w:after="8"/>
      </w:pPr>
      <w:r>
        <w:rPr>
          <w:rFonts w:ascii="Calibri" w:hAnsi="Calibri"/>
          <w:color w:val="0A0A0A"/>
          <w:sz w:val="22"/>
        </w:rPr>
        <w:t>The Smart Amount Suggestion for Payments addresses this gap by introducing a GetAmountSuggestions request (payerVPA, payeeVPA, maxSuggestions) that returns up to three suggested_amounts with optional confidence_score. The suggestions are derived from the payer’s transaction history but are subject to the same per‑transaction and daily limits, preserving existing risk controls. By surfacing personalized amounts at the UI, the flow remains compatible with the existing ReqPay sequence while reducing completion time and error probability.</w:t>
      </w:r>
    </w:p>
    <w:p>
      <w:pPr>
        <w:pStyle w:val="Heading1"/>
        <w:spacing w:before="18" w:after="6"/>
      </w:pPr>
      <w:r>
        <w:t>Product Overview</w:t>
      </w:r>
    </w:p>
    <w:p>
      <w:pPr>
        <w:spacing w:before="0" w:after="8"/>
      </w:pPr>
      <w:r>
        <w:rPr>
          <w:rFonts w:ascii="Calibri" w:hAnsi="Calibri"/>
          <w:color w:val="0A0A0A"/>
          <w:sz w:val="22"/>
        </w:rPr>
        <w:t>The Smart Amount Suggestion for Payments feature enriches the UPI payment initiation flow by presenting the payer with up to three amounts that the payer has historically paid to the selected payee. The suggestion engine runs on the PSP side, consumes the payer’s transaction history identified by the payer’s VPA and the payee’s VPA, and returns the top‑most frequent amounts before the user enters a value. The UI in the UPI App displays these amounts as tappable options while still allowing manual edits. The underlying UPI message sequence (ReqPay, authentication, debit, credit, confirmation) remains unchanged, and all existing per‑transaction (₹15,000 standard, ₹500 UPI‑Lite) and daily aggregate limits continue to apply to any suggested amount.</w:t>
      </w:r>
    </w:p>
    <w:p>
      <w:pPr>
        <w:spacing w:before="0" w:after="8"/>
      </w:pPr>
      <w:r>
        <w:rPr>
          <w:rFonts w:ascii="Calibri" w:hAnsi="Calibri"/>
          <w:color w:val="0A0A0A"/>
          <w:sz w:val="22"/>
        </w:rPr>
        <w:t>Detailed specifications, tables, and code samples in the surrounding sections implement the requirements summarized above.</w:t>
      </w:r>
    </w:p>
    <w:p>
      <w:pPr>
        <w:pStyle w:val="Heading2"/>
        <w:spacing w:before="12" w:after="6"/>
      </w:pPr>
      <w:r>
        <w:t>Product Construct</w:t>
      </w:r>
    </w:p>
    <w:p>
      <w:pPr>
        <w:spacing w:before="0" w:after="8"/>
      </w:pPr>
      <w:r>
        <w:rPr>
          <w:rFonts w:ascii="Calibri" w:hAnsi="Calibri"/>
          <w:color w:val="0A0A0A"/>
          <w:sz w:val="22"/>
        </w:rPr>
        <w:t>The Smart Amount Suggestion for Payments feature introduces a lightweight analytics service, referred to as the GetAmountSuggestions engine, that resides within the PSP’s backend ecosystem. When a user opens the PSP app and selects a payee VPA, the app invokes the GetAmountSuggestions request (payerVPA, payeeVPA, maxSuggestions) to retrieve up to three historically‑frequent amounts. The response is returned to the UI for one‑tap selection, after which the standard UPI payment flow proceeds using ReqPay, ReqAuthDetails, ReqTxnConfirmation (or ReqDebit) messages orchestrated by the NPCI switch. All participants – Payer PSP, Payee PSP, NPCI, and the suggestion service – operate under the existing VPA‑based identification model.</w:t>
      </w:r>
    </w:p>
    <w:p>
      <w:pPr>
        <w:spacing w:before="0" w:after="8"/>
      </w:pPr>
      <w:r>
        <w:rPr>
          <w:rFonts w:ascii="Calibri" w:hAnsi="Calibri"/>
          <w:color w:val="0A0A0A"/>
          <w:sz w:val="22"/>
        </w:rPr>
        <w:t>Key design decisions enforce the current per‑transaction limits of INR 15,000 for standard UPI and INR 500 for UPI‑Lite on any suggested amount, and the daily aggregate limits remain unchanged. Authentication continues to rely on the UPI PIN, with the CL handling encryption of the credential block (CRED) as in the baseline flow. The suggestion engine derives amounts from the payer’s transaction history of the past 30 days, limiting the output to three values and optionally attaching a confidence_score for future analytics. Integration is non‑intrusive: no modifications to the core ReqPay/ReqAuthDetails messages are required, preserving backward compatibility for all downstream systems.</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val="clear" w:color="auto" w:fill="1D4ED8"/>
            <w:tcMar>
              <w:top w:w="60" w:type="dxa"/>
              <w:bottom w:w="60" w:type="dxa"/>
              <w:left w:w="108" w:type="dxa"/>
              <w:right w:w="108" w:type="dxa"/>
            </w:tcMar>
          </w:tcPr>
          <w:p>
            <w:pPr>
              <w:jc w:val="center"/>
            </w:pPr>
            <w:r>
              <w:rPr>
                <w:rFonts w:ascii="Calibri" w:hAnsi="Calibri"/>
                <w:b/>
                <w:color w:val="FFFFFF"/>
                <w:sz w:val="20"/>
              </w:rPr>
              <w:t>Field Name</w:t>
            </w:r>
          </w:p>
        </w:tc>
        <w:tc>
          <w:tcPr>
            <w:tcW w:type="dxa" w:w="1872"/>
            <w:shd w:val="clear" w:color="auto" w:fill="1D4ED8"/>
            <w:tcMar>
              <w:top w:w="60" w:type="dxa"/>
              <w:bottom w:w="60" w:type="dxa"/>
              <w:left w:w="108" w:type="dxa"/>
              <w:right w:w="108" w:type="dxa"/>
            </w:tcMar>
          </w:tcPr>
          <w:p>
            <w:pPr>
              <w:jc w:val="center"/>
            </w:pPr>
            <w:r>
              <w:rPr>
                <w:rFonts w:ascii="Calibri" w:hAnsi="Calibri"/>
                <w:b/>
                <w:color w:val="FFFFFF"/>
                <w:sz w:val="20"/>
              </w:rPr>
              <w:t>dType</w:t>
            </w:r>
          </w:p>
        </w:tc>
        <w:tc>
          <w:tcPr>
            <w:tcW w:type="dxa" w:w="1872"/>
            <w:shd w:val="clear" w:color="auto" w:fill="1D4ED8"/>
            <w:tcMar>
              <w:top w:w="60" w:type="dxa"/>
              <w:bottom w:w="60" w:type="dxa"/>
              <w:left w:w="108" w:type="dxa"/>
              <w:right w:w="108" w:type="dxa"/>
            </w:tcMar>
          </w:tcPr>
          <w:p>
            <w:pPr>
              <w:jc w:val="center"/>
            </w:pPr>
            <w:r>
              <w:rPr>
                <w:rFonts w:ascii="Calibri" w:hAnsi="Calibri"/>
                <w:b/>
                <w:color w:val="FFFFFF"/>
                <w:sz w:val="20"/>
              </w:rPr>
              <w:t>dLength</w:t>
            </w:r>
          </w:p>
        </w:tc>
        <w:tc>
          <w:tcPr>
            <w:tcW w:type="dxa" w:w="1872"/>
            <w:shd w:val="clear" w:color="auto" w:fill="1D4ED8"/>
            <w:tcMar>
              <w:top w:w="60" w:type="dxa"/>
              <w:bottom w:w="60" w:type="dxa"/>
              <w:left w:w="108" w:type="dxa"/>
              <w:right w:w="108" w:type="dxa"/>
            </w:tcMar>
          </w:tcPr>
          <w:p>
            <w:pPr>
              <w:jc w:val="center"/>
            </w:pPr>
            <w:r>
              <w:rPr>
                <w:rFonts w:ascii="Calibri" w:hAnsi="Calibri"/>
                <w:b/>
                <w:color w:val="FFFFFF"/>
                <w:sz w:val="20"/>
              </w:rPr>
              <w:t>Description</w:t>
            </w:r>
          </w:p>
        </w:tc>
        <w:tc>
          <w:tcPr>
            <w:tcW w:type="dxa" w:w="1872"/>
            <w:shd w:val="clear" w:color="auto" w:fill="1D4ED8"/>
            <w:tcMar>
              <w:top w:w="60" w:type="dxa"/>
              <w:bottom w:w="60" w:type="dxa"/>
              <w:left w:w="108" w:type="dxa"/>
              <w:right w:w="108" w:type="dxa"/>
            </w:tcMar>
          </w:tcPr>
          <w:p>
            <w:pPr>
              <w:jc w:val="center"/>
            </w:pPr>
            <w:r>
              <w:rPr>
                <w:rFonts w:ascii="Calibri" w:hAnsi="Calibri"/>
                <w:b/>
                <w:color w:val="FFFFFF"/>
                <w:sz w:val="20"/>
              </w:rPr>
              <w:t>Mandatory (Y/N)</w:t>
            </w:r>
          </w:p>
        </w:tc>
      </w:tr>
      <w:tr>
        <w:tc>
          <w:tcPr>
            <w:tcW w:type="dxa" w:w="1872"/>
            <w:shd w:val="clear" w:color="auto" w:fill="DBEAFE"/>
            <w:tcMar>
              <w:top w:w="60" w:type="dxa"/>
              <w:bottom w:w="60" w:type="dxa"/>
              <w:left w:w="108" w:type="dxa"/>
              <w:right w:w="108" w:type="dxa"/>
            </w:tcMar>
          </w:tcPr>
          <w:p>
            <w:pPr>
              <w:jc w:val="left"/>
            </w:pPr>
            <w:r>
              <w:rPr>
                <w:rFonts w:ascii="Calibri" w:hAnsi="Calibri"/>
                <w:sz w:val="20"/>
              </w:rPr>
              <w:t>payerVPA</w:t>
            </w:r>
          </w:p>
        </w:tc>
        <w:tc>
          <w:tcPr>
            <w:tcW w:type="dxa" w:w="1872"/>
            <w:shd w:val="clear" w:color="auto" w:fill="DBEAFE"/>
            <w:tcMar>
              <w:top w:w="60" w:type="dxa"/>
              <w:bottom w:w="60" w:type="dxa"/>
              <w:left w:w="108" w:type="dxa"/>
              <w:right w:w="108" w:type="dxa"/>
            </w:tcMar>
          </w:tcPr>
          <w:p>
            <w:pPr>
              <w:jc w:val="left"/>
            </w:pPr>
            <w:r>
              <w:rPr>
                <w:rFonts w:ascii="Calibri" w:hAnsi="Calibri"/>
                <w:sz w:val="20"/>
              </w:rPr>
              <w:t>String</w:t>
            </w:r>
          </w:p>
        </w:tc>
        <w:tc>
          <w:tcPr>
            <w:tcW w:type="dxa" w:w="1872"/>
            <w:shd w:val="clear" w:color="auto" w:fill="DBEAFE"/>
            <w:tcMar>
              <w:top w:w="60" w:type="dxa"/>
              <w:bottom w:w="60" w:type="dxa"/>
              <w:left w:w="108" w:type="dxa"/>
              <w:right w:w="108" w:type="dxa"/>
            </w:tcMar>
          </w:tcPr>
          <w:p>
            <w:pPr>
              <w:jc w:val="left"/>
            </w:pPr>
            <w:r>
              <w:rPr>
                <w:rFonts w:ascii="Calibri" w:hAnsi="Calibri"/>
                <w:sz w:val="20"/>
              </w:rPr>
              <w:t>64</w:t>
            </w:r>
          </w:p>
        </w:tc>
        <w:tc>
          <w:tcPr>
            <w:tcW w:type="dxa" w:w="1872"/>
            <w:shd w:val="clear" w:color="auto" w:fill="DBEAFE"/>
            <w:tcMar>
              <w:top w:w="60" w:type="dxa"/>
              <w:bottom w:w="60" w:type="dxa"/>
              <w:left w:w="108" w:type="dxa"/>
              <w:right w:w="108" w:type="dxa"/>
            </w:tcMar>
          </w:tcPr>
          <w:p>
            <w:pPr>
              <w:jc w:val="left"/>
            </w:pPr>
            <w:r>
              <w:rPr>
                <w:rFonts w:ascii="Calibri" w:hAnsi="Calibri"/>
                <w:sz w:val="20"/>
              </w:rPr>
              <w:t>Virtual Payment Address of the payer</w:t>
            </w:r>
          </w:p>
        </w:tc>
        <w:tc>
          <w:tcPr>
            <w:tcW w:type="dxa" w:w="1872"/>
            <w:shd w:val="clear" w:color="auto" w:fill="DBEAFE"/>
            <w:tcMar>
              <w:top w:w="60" w:type="dxa"/>
              <w:bottom w:w="60" w:type="dxa"/>
              <w:left w:w="108" w:type="dxa"/>
              <w:right w:w="108" w:type="dxa"/>
            </w:tcMar>
          </w:tcPr>
          <w:p>
            <w:pPr>
              <w:jc w:val="left"/>
            </w:pPr>
            <w:r>
              <w:rPr>
                <w:rFonts w:ascii="Calibri" w:hAnsi="Calibri"/>
                <w:sz w:val="20"/>
              </w:rPr>
              <w:t>Y</w:t>
            </w:r>
          </w:p>
        </w:tc>
      </w:tr>
      <w:tr>
        <w:tc>
          <w:tcPr>
            <w:tcW w:type="dxa" w:w="1872"/>
            <w:shd w:val="clear" w:color="auto" w:fill="FFFFFF"/>
            <w:tcMar>
              <w:top w:w="60" w:type="dxa"/>
              <w:bottom w:w="60" w:type="dxa"/>
              <w:left w:w="108" w:type="dxa"/>
              <w:right w:w="108" w:type="dxa"/>
            </w:tcMar>
          </w:tcPr>
          <w:p>
            <w:pPr>
              <w:jc w:val="left"/>
            </w:pPr>
            <w:r>
              <w:rPr>
                <w:rFonts w:ascii="Calibri" w:hAnsi="Calibri"/>
                <w:sz w:val="20"/>
              </w:rPr>
              <w:t>payeeVPA</w:t>
            </w:r>
          </w:p>
        </w:tc>
        <w:tc>
          <w:tcPr>
            <w:tcW w:type="dxa" w:w="1872"/>
            <w:shd w:val="clear" w:color="auto" w:fill="FFFFFF"/>
            <w:tcMar>
              <w:top w:w="60" w:type="dxa"/>
              <w:bottom w:w="60" w:type="dxa"/>
              <w:left w:w="108" w:type="dxa"/>
              <w:right w:w="108" w:type="dxa"/>
            </w:tcMar>
          </w:tcPr>
          <w:p>
            <w:pPr>
              <w:jc w:val="left"/>
            </w:pPr>
            <w:r>
              <w:rPr>
                <w:rFonts w:ascii="Calibri" w:hAnsi="Calibri"/>
                <w:sz w:val="20"/>
              </w:rPr>
              <w:t>String</w:t>
            </w:r>
          </w:p>
        </w:tc>
        <w:tc>
          <w:tcPr>
            <w:tcW w:type="dxa" w:w="1872"/>
            <w:shd w:val="clear" w:color="auto" w:fill="FFFFFF"/>
            <w:tcMar>
              <w:top w:w="60" w:type="dxa"/>
              <w:bottom w:w="60" w:type="dxa"/>
              <w:left w:w="108" w:type="dxa"/>
              <w:right w:w="108" w:type="dxa"/>
            </w:tcMar>
          </w:tcPr>
          <w:p>
            <w:pPr>
              <w:jc w:val="left"/>
            </w:pPr>
            <w:r>
              <w:rPr>
                <w:rFonts w:ascii="Calibri" w:hAnsi="Calibri"/>
                <w:sz w:val="20"/>
              </w:rPr>
              <w:t>64</w:t>
            </w:r>
          </w:p>
        </w:tc>
        <w:tc>
          <w:tcPr>
            <w:tcW w:type="dxa" w:w="1872"/>
            <w:shd w:val="clear" w:color="auto" w:fill="FFFFFF"/>
            <w:tcMar>
              <w:top w:w="60" w:type="dxa"/>
              <w:bottom w:w="60" w:type="dxa"/>
              <w:left w:w="108" w:type="dxa"/>
              <w:right w:w="108" w:type="dxa"/>
            </w:tcMar>
          </w:tcPr>
          <w:p>
            <w:pPr>
              <w:jc w:val="left"/>
            </w:pPr>
            <w:r>
              <w:rPr>
                <w:rFonts w:ascii="Calibri" w:hAnsi="Calibri"/>
                <w:sz w:val="20"/>
              </w:rPr>
              <w:t>Virtual Payment Address of the payee/merchant</w:t>
            </w:r>
          </w:p>
        </w:tc>
        <w:tc>
          <w:tcPr>
            <w:tcW w:type="dxa" w:w="1872"/>
            <w:shd w:val="clear" w:color="auto" w:fill="FFFFFF"/>
            <w:tcMar>
              <w:top w:w="60" w:type="dxa"/>
              <w:bottom w:w="60" w:type="dxa"/>
              <w:left w:w="108" w:type="dxa"/>
              <w:right w:w="108" w:type="dxa"/>
            </w:tcMar>
          </w:tcPr>
          <w:p>
            <w:pPr>
              <w:jc w:val="left"/>
            </w:pPr>
            <w:r>
              <w:rPr>
                <w:rFonts w:ascii="Calibri" w:hAnsi="Calibri"/>
                <w:sz w:val="20"/>
              </w:rPr>
              <w:t>Y</w:t>
            </w:r>
          </w:p>
        </w:tc>
      </w:tr>
      <w:tr>
        <w:tc>
          <w:tcPr>
            <w:tcW w:type="dxa" w:w="1872"/>
            <w:shd w:val="clear" w:color="auto" w:fill="DBEAFE"/>
            <w:tcMar>
              <w:top w:w="60" w:type="dxa"/>
              <w:bottom w:w="60" w:type="dxa"/>
              <w:left w:w="108" w:type="dxa"/>
              <w:right w:w="108" w:type="dxa"/>
            </w:tcMar>
          </w:tcPr>
          <w:p>
            <w:pPr>
              <w:jc w:val="left"/>
            </w:pPr>
            <w:r>
              <w:rPr>
                <w:rFonts w:ascii="Calibri" w:hAnsi="Calibri"/>
                <w:sz w:val="20"/>
              </w:rPr>
              <w:t>maxSuggestions</w:t>
            </w:r>
          </w:p>
        </w:tc>
        <w:tc>
          <w:tcPr>
            <w:tcW w:type="dxa" w:w="1872"/>
            <w:shd w:val="clear" w:color="auto" w:fill="DBEAFE"/>
            <w:tcMar>
              <w:top w:w="60" w:type="dxa"/>
              <w:bottom w:w="60" w:type="dxa"/>
              <w:left w:w="108" w:type="dxa"/>
              <w:right w:w="108" w:type="dxa"/>
            </w:tcMar>
          </w:tcPr>
          <w:p>
            <w:pPr>
              <w:jc w:val="left"/>
            </w:pPr>
            <w:r>
              <w:rPr>
                <w:rFonts w:ascii="Calibri" w:hAnsi="Calibri"/>
                <w:sz w:val="20"/>
              </w:rPr>
              <w:t>Integer</w:t>
            </w:r>
          </w:p>
        </w:tc>
        <w:tc>
          <w:tcPr>
            <w:tcW w:type="dxa" w:w="1872"/>
            <w:shd w:val="clear" w:color="auto" w:fill="DBEAFE"/>
            <w:tcMar>
              <w:top w:w="60" w:type="dxa"/>
              <w:bottom w:w="60" w:type="dxa"/>
              <w:left w:w="108" w:type="dxa"/>
              <w:right w:w="108" w:type="dxa"/>
            </w:tcMar>
          </w:tcPr>
          <w:p>
            <w:pPr>
              <w:jc w:val="left"/>
            </w:pPr>
            <w:r>
              <w:rPr>
                <w:rFonts w:ascii="Calibri" w:hAnsi="Calibri"/>
                <w:sz w:val="20"/>
              </w:rPr>
              <w:t>2</w:t>
            </w:r>
          </w:p>
        </w:tc>
        <w:tc>
          <w:tcPr>
            <w:tcW w:type="dxa" w:w="1872"/>
            <w:shd w:val="clear" w:color="auto" w:fill="DBEAFE"/>
            <w:tcMar>
              <w:top w:w="60" w:type="dxa"/>
              <w:bottom w:w="60" w:type="dxa"/>
              <w:left w:w="108" w:type="dxa"/>
              <w:right w:w="108" w:type="dxa"/>
            </w:tcMar>
          </w:tcPr>
          <w:p>
            <w:pPr>
              <w:jc w:val="left"/>
            </w:pPr>
            <w:r>
              <w:rPr>
                <w:rFonts w:ascii="Calibri" w:hAnsi="Calibri"/>
                <w:sz w:val="20"/>
              </w:rPr>
              <w:t>Maximum number of suggested amounts to return (up to 3)</w:t>
            </w:r>
          </w:p>
        </w:tc>
        <w:tc>
          <w:tcPr>
            <w:tcW w:type="dxa" w:w="1872"/>
            <w:shd w:val="clear" w:color="auto" w:fill="DBEAFE"/>
            <w:tcMar>
              <w:top w:w="60" w:type="dxa"/>
              <w:bottom w:w="60" w:type="dxa"/>
              <w:left w:w="108" w:type="dxa"/>
              <w:right w:w="108" w:type="dxa"/>
            </w:tcMar>
          </w:tcPr>
          <w:p>
            <w:pPr>
              <w:jc w:val="left"/>
            </w:pPr>
            <w:r>
              <w:rPr>
                <w:rFonts w:ascii="Calibri" w:hAnsi="Calibri"/>
                <w:sz w:val="20"/>
              </w:rPr>
              <w:t>Y</w:t>
            </w:r>
          </w:p>
        </w:tc>
      </w:tr>
    </w:tbl>
    <w:p/>
    <w:p>
      <w:pPr>
        <w:pStyle w:val="Heading2"/>
        <w:spacing w:before="12" w:after="6"/>
      </w:pPr>
      <w:r>
        <w:t>Process Flow: Setting &amp; Enrollment</w:t>
      </w:r>
    </w:p>
    <w:p>
      <w:pPr>
        <w:jc w:val="center"/>
        <w:spacing w:before="12" w:after="6"/>
      </w:pPr>
      <w:r>
        <w:drawing>
          <wp:inline xmlns:a="http://schemas.openxmlformats.org/drawingml/2006/main" xmlns:pic="http://schemas.openxmlformats.org/drawingml/2006/picture">
            <wp:extent cx="5943600" cy="6073210"/>
            <wp:docPr id="1" name="Picture 1"/>
            <wp:cNvGraphicFramePr>
              <a:graphicFrameLocks noChangeAspect="1"/>
            </wp:cNvGraphicFramePr>
            <a:graphic>
              <a:graphicData uri="http://schemas.openxmlformats.org/drawingml/2006/picture">
                <pic:pic>
                  <pic:nvPicPr>
                    <pic:cNvPr id="0" name="diagram_3_fd649e.png"/>
                    <pic:cNvPicPr/>
                  </pic:nvPicPr>
                  <pic:blipFill>
                    <a:blip r:embed="rId12"/>
                    <a:stretch>
                      <a:fillRect/>
                    </a:stretch>
                  </pic:blipFill>
                  <pic:spPr>
                    <a:xfrm>
                      <a:off x="0" y="0"/>
                      <a:ext cx="5943600" cy="6073210"/>
                    </a:xfrm>
                    <a:prstGeom prst="rect"/>
                  </pic:spPr>
                </pic:pic>
              </a:graphicData>
            </a:graphic>
          </wp:inline>
        </w:drawing>
      </w:r>
    </w:p>
    <w:p>
      <w:pPr>
        <w:jc w:val="center"/>
        <w:spacing w:before="0" w:after="12"/>
      </w:pPr>
      <w:r>
        <w:rPr>
          <w:i/>
          <w:color w:val="374151"/>
          <w:sz w:val="18"/>
        </w:rPr>
        <w:t>Figure: ### 1. Feature The **Dynamic Amount‑Suggestion** — sequence diagram. Steps: Step 1: Payer PSP — initiates ReqPay with amount, payerVPA, payeeVPA, purposeCode; Step 2: NPCI — forwards ReqAuthDetails to Payee PSP; Step 3: Payee PSP — validates merchant details, returns RespAuthDetails; Step 4: Payer PSP — sends ReqTxnConfirmation (or ReqDebit for voucher) to NPCI; Step 5: NPCI — processes debit, returns RespTxnConfirmation to Payer PSP</w:t>
      </w:r>
    </w:p>
    <w:p>
      <w:pPr>
        <w:spacing w:before="0" w:after="8"/>
      </w:pPr>
      <w:r>
        <w:rPr>
          <w:rFonts w:ascii="Calibri" w:hAnsi="Calibri"/>
          <w:color w:val="0A0A0A"/>
          <w:sz w:val="22"/>
        </w:rPr>
        <w:t>The Smart Amount Suggestion for Payments enrollment flow begins with the PSP application validating the payer's session and VPA status before invoking the suggestion service. A lightweight GetAmountSuggestions request is sent to NPCI, which returns up to three historically frequent amounts for the selected payee VPA. The user selects or edits a suggested amount, and the standard UPI payment flow proceeds using ReqPay, authentication, and confirmation messages while respecting existing transaction limits.</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color="auto" w:fill="1D4ED8"/>
            <w:tcMar>
              <w:top w:w="60" w:type="dxa"/>
              <w:bottom w:w="60" w:type="dxa"/>
              <w:left w:w="108" w:type="dxa"/>
              <w:right w:w="108" w:type="dxa"/>
            </w:tcMar>
          </w:tcPr>
          <w:p>
            <w:pPr>
              <w:jc w:val="center"/>
            </w:pPr>
            <w:r>
              <w:rPr>
                <w:rFonts w:ascii="Calibri" w:hAnsi="Calibri"/>
                <w:b/>
                <w:color w:val="FFFFFF"/>
                <w:sz w:val="20"/>
              </w:rPr>
              <w:t>Step</w:t>
            </w:r>
          </w:p>
        </w:tc>
        <w:tc>
          <w:tcPr>
            <w:tcW w:type="dxa" w:w="3120"/>
            <w:shd w:val="clear" w:color="auto" w:fill="1D4ED8"/>
            <w:tcMar>
              <w:top w:w="60" w:type="dxa"/>
              <w:bottom w:w="60" w:type="dxa"/>
              <w:left w:w="108" w:type="dxa"/>
              <w:right w:w="108" w:type="dxa"/>
            </w:tcMar>
          </w:tcPr>
          <w:p>
            <w:pPr>
              <w:jc w:val="center"/>
            </w:pPr>
            <w:r>
              <w:rPr>
                <w:rFonts w:ascii="Calibri" w:hAnsi="Calibri"/>
                <w:b/>
                <w:color w:val="FFFFFF"/>
                <w:sz w:val="20"/>
              </w:rPr>
              <w:t>Activity</w:t>
            </w:r>
          </w:p>
        </w:tc>
        <w:tc>
          <w:tcPr>
            <w:tcW w:type="dxa" w:w="3120"/>
            <w:shd w:val="clear" w:color="auto" w:fill="1D4ED8"/>
            <w:tcMar>
              <w:top w:w="60" w:type="dxa"/>
              <w:bottom w:w="60" w:type="dxa"/>
              <w:left w:w="108" w:type="dxa"/>
              <w:right w:w="108" w:type="dxa"/>
            </w:tcMar>
          </w:tcPr>
          <w:p>
            <w:pPr>
              <w:jc w:val="center"/>
            </w:pPr>
            <w:r>
              <w:rPr>
                <w:rFonts w:ascii="Calibri" w:hAnsi="Calibri"/>
                <w:b/>
                <w:color w:val="FFFFFF"/>
                <w:sz w:val="20"/>
              </w:rPr>
              <w:t>Responsible</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Pre-Check</w:t>
            </w:r>
          </w:p>
        </w:tc>
        <w:tc>
          <w:tcPr>
            <w:tcW w:type="dxa" w:w="3120"/>
            <w:shd w:val="clear" w:color="auto" w:fill="DBEAFE"/>
            <w:tcMar>
              <w:top w:w="60" w:type="dxa"/>
              <w:bottom w:w="60" w:type="dxa"/>
              <w:left w:w="108" w:type="dxa"/>
              <w:right w:w="108" w:type="dxa"/>
            </w:tcMar>
          </w:tcPr>
          <w:p>
            <w:pPr>
              <w:jc w:val="left"/>
            </w:pPr>
            <w:r>
              <w:rPr>
                <w:rFonts w:ascii="Calibri" w:hAnsi="Calibri"/>
                <w:sz w:val="20"/>
              </w:rPr>
              <w:t>Verify payer VPA is active and user session is authenticated</w:t>
            </w:r>
          </w:p>
        </w:tc>
        <w:tc>
          <w:tcPr>
            <w:tcW w:type="dxa" w:w="3120"/>
            <w:shd w:val="clear" w:color="auto" w:fill="DBEAFE"/>
            <w:tcMar>
              <w:top w:w="60" w:type="dxa"/>
              <w:bottom w:w="60" w:type="dxa"/>
              <w:left w:w="108" w:type="dxa"/>
              <w:right w:w="108" w:type="dxa"/>
            </w:tcMar>
          </w:tcPr>
          <w:p>
            <w:pPr>
              <w:jc w:val="left"/>
            </w:pPr>
            <w:r>
              <w:rPr>
                <w:rFonts w:ascii="Calibri" w:hAnsi="Calibri"/>
                <w:sz w:val="20"/>
              </w:rPr>
              <w:t>PSP App (UPI App)</w:t>
            </w:r>
          </w:p>
        </w:tc>
      </w:tr>
      <w:tr>
        <w:tc>
          <w:tcPr>
            <w:tcW w:type="dxa" w:w="3120"/>
            <w:shd w:val="clear" w:color="auto" w:fill="FFFFFF"/>
            <w:tcMar>
              <w:top w:w="60" w:type="dxa"/>
              <w:bottom w:w="60" w:type="dxa"/>
              <w:left w:w="108" w:type="dxa"/>
              <w:right w:w="108" w:type="dxa"/>
            </w:tcMar>
          </w:tcPr>
          <w:p>
            <w:pPr>
              <w:jc w:val="left"/>
            </w:pPr>
            <w:r>
              <w:rPr>
                <w:rFonts w:ascii="Calibri" w:hAnsi="Calibri"/>
                <w:sz w:val="20"/>
              </w:rPr>
              <w:t>Step 1</w:t>
            </w:r>
          </w:p>
        </w:tc>
        <w:tc>
          <w:tcPr>
            <w:tcW w:type="dxa" w:w="3120"/>
            <w:shd w:val="clear" w:color="auto" w:fill="FFFFFF"/>
            <w:tcMar>
              <w:top w:w="60" w:type="dxa"/>
              <w:bottom w:w="60" w:type="dxa"/>
              <w:left w:w="108" w:type="dxa"/>
              <w:right w:w="108" w:type="dxa"/>
            </w:tcMar>
          </w:tcPr>
          <w:p>
            <w:pPr>
              <w:jc w:val="left"/>
            </w:pPr>
            <w:r>
              <w:rPr>
                <w:rFonts w:ascii="Calibri" w:hAnsi="Calibri"/>
                <w:sz w:val="20"/>
              </w:rPr>
              <w:t>Invoke GetAmountSuggestions with payerVPA, payeeVPA, maxSuggestions=3</w:t>
            </w:r>
          </w:p>
        </w:tc>
        <w:tc>
          <w:tcPr>
            <w:tcW w:type="dxa" w:w="3120"/>
            <w:shd w:val="clear" w:color="auto" w:fill="FFFFFF"/>
            <w:tcMar>
              <w:top w:w="60" w:type="dxa"/>
              <w:bottom w:w="60" w:type="dxa"/>
              <w:left w:w="108" w:type="dxa"/>
              <w:right w:w="108" w:type="dxa"/>
            </w:tcMar>
          </w:tcPr>
          <w:p>
            <w:pPr>
              <w:jc w:val="left"/>
            </w:pPr>
            <w:r>
              <w:rPr>
                <w:rFonts w:ascii="Calibri" w:hAnsi="Calibri"/>
                <w:sz w:val="20"/>
              </w:rPr>
              <w:t>Payer PSP</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Step 2</w:t>
            </w:r>
          </w:p>
        </w:tc>
        <w:tc>
          <w:tcPr>
            <w:tcW w:type="dxa" w:w="3120"/>
            <w:shd w:val="clear" w:color="auto" w:fill="DBEAFE"/>
            <w:tcMar>
              <w:top w:w="60" w:type="dxa"/>
              <w:bottom w:w="60" w:type="dxa"/>
              <w:left w:w="108" w:type="dxa"/>
              <w:right w:w="108" w:type="dxa"/>
            </w:tcMar>
          </w:tcPr>
          <w:p>
            <w:pPr>
              <w:jc w:val="left"/>
            </w:pPr>
            <w:r>
              <w:rPr>
                <w:rFonts w:ascii="Calibri" w:hAnsi="Calibri"/>
                <w:sz w:val="20"/>
              </w:rPr>
              <w:t>NPCI processes request, queries transaction history, returns up to three suggested_amounts with optional confidence_score</w:t>
            </w:r>
          </w:p>
        </w:tc>
        <w:tc>
          <w:tcPr>
            <w:tcW w:type="dxa" w:w="3120"/>
            <w:shd w:val="clear" w:color="auto" w:fill="DBEAFE"/>
            <w:tcMar>
              <w:top w:w="60" w:type="dxa"/>
              <w:bottom w:w="60" w:type="dxa"/>
              <w:left w:w="108" w:type="dxa"/>
              <w:right w:w="108" w:type="dxa"/>
            </w:tcMar>
          </w:tcPr>
          <w:p>
            <w:pPr>
              <w:jc w:val="left"/>
            </w:pPr>
            <w:r>
              <w:rPr>
                <w:rFonts w:ascii="Calibri" w:hAnsi="Calibri"/>
                <w:sz w:val="20"/>
              </w:rPr>
              <w:t>NPCI</w:t>
            </w:r>
          </w:p>
        </w:tc>
      </w:tr>
      <w:tr>
        <w:tc>
          <w:tcPr>
            <w:tcW w:type="dxa" w:w="3120"/>
            <w:shd w:val="clear" w:color="auto" w:fill="FFFFFF"/>
            <w:tcMar>
              <w:top w:w="60" w:type="dxa"/>
              <w:bottom w:w="60" w:type="dxa"/>
              <w:left w:w="108" w:type="dxa"/>
              <w:right w:w="108" w:type="dxa"/>
            </w:tcMar>
          </w:tcPr>
          <w:p>
            <w:pPr>
              <w:jc w:val="left"/>
            </w:pPr>
            <w:r>
              <w:rPr>
                <w:rFonts w:ascii="Calibri" w:hAnsi="Calibri"/>
                <w:sz w:val="20"/>
              </w:rPr>
              <w:t>Step 3</w:t>
            </w:r>
          </w:p>
        </w:tc>
        <w:tc>
          <w:tcPr>
            <w:tcW w:type="dxa" w:w="3120"/>
            <w:shd w:val="clear" w:color="auto" w:fill="FFFFFF"/>
            <w:tcMar>
              <w:top w:w="60" w:type="dxa"/>
              <w:bottom w:w="60" w:type="dxa"/>
              <w:left w:w="108" w:type="dxa"/>
              <w:right w:w="108" w:type="dxa"/>
            </w:tcMar>
          </w:tcPr>
          <w:p>
            <w:pPr>
              <w:jc w:val="left"/>
            </w:pPr>
            <w:r>
              <w:rPr>
                <w:rFonts w:ascii="Calibri" w:hAnsi="Calibri"/>
                <w:sz w:val="20"/>
              </w:rPr>
              <w:t>Display suggestions; user selects or edits an amount</w:t>
            </w:r>
          </w:p>
        </w:tc>
        <w:tc>
          <w:tcPr>
            <w:tcW w:type="dxa" w:w="3120"/>
            <w:shd w:val="clear" w:color="auto" w:fill="FFFFFF"/>
            <w:tcMar>
              <w:top w:w="60" w:type="dxa"/>
              <w:bottom w:w="60" w:type="dxa"/>
              <w:left w:w="108" w:type="dxa"/>
              <w:right w:w="108" w:type="dxa"/>
            </w:tcMar>
          </w:tcPr>
          <w:p>
            <w:pPr>
              <w:jc w:val="left"/>
            </w:pPr>
            <w:r>
              <w:rPr>
                <w:rFonts w:ascii="Calibri" w:hAnsi="Calibri"/>
                <w:sz w:val="20"/>
              </w:rPr>
              <w:t>UPI App</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Step 4</w:t>
            </w:r>
          </w:p>
        </w:tc>
        <w:tc>
          <w:tcPr>
            <w:tcW w:type="dxa" w:w="3120"/>
            <w:shd w:val="clear" w:color="auto" w:fill="DBEAFE"/>
            <w:tcMar>
              <w:top w:w="60" w:type="dxa"/>
              <w:bottom w:w="60" w:type="dxa"/>
              <w:left w:w="108" w:type="dxa"/>
              <w:right w:w="108" w:type="dxa"/>
            </w:tcMar>
          </w:tcPr>
          <w:p>
            <w:pPr>
              <w:jc w:val="left"/>
            </w:pPr>
            <w:r>
              <w:rPr>
                <w:rFonts w:ascii="Calibri" w:hAnsi="Calibri"/>
                <w:sz w:val="20"/>
              </w:rPr>
              <w:t>Send ReqPay (amount, payerVPA, payeeVPA, purposeCode) to NPCI</w:t>
            </w:r>
          </w:p>
        </w:tc>
        <w:tc>
          <w:tcPr>
            <w:tcW w:type="dxa" w:w="3120"/>
            <w:shd w:val="clear" w:color="auto" w:fill="DBEAFE"/>
            <w:tcMar>
              <w:top w:w="60" w:type="dxa"/>
              <w:bottom w:w="60" w:type="dxa"/>
              <w:left w:w="108" w:type="dxa"/>
              <w:right w:w="108" w:type="dxa"/>
            </w:tcMar>
          </w:tcPr>
          <w:p>
            <w:pPr>
              <w:jc w:val="left"/>
            </w:pPr>
            <w:r>
              <w:rPr>
                <w:rFonts w:ascii="Calibri" w:hAnsi="Calibri"/>
                <w:sz w:val="20"/>
              </w:rPr>
              <w:t>Payer PSP</w:t>
            </w:r>
          </w:p>
        </w:tc>
      </w:tr>
      <w:tr>
        <w:tc>
          <w:tcPr>
            <w:tcW w:type="dxa" w:w="3120"/>
            <w:shd w:val="clear" w:color="auto" w:fill="FFFFFF"/>
            <w:tcMar>
              <w:top w:w="60" w:type="dxa"/>
              <w:bottom w:w="60" w:type="dxa"/>
              <w:left w:w="108" w:type="dxa"/>
              <w:right w:w="108" w:type="dxa"/>
            </w:tcMar>
          </w:tcPr>
          <w:p>
            <w:pPr>
              <w:jc w:val="left"/>
            </w:pPr>
            <w:r>
              <w:rPr>
                <w:rFonts w:ascii="Calibri" w:hAnsi="Calibri"/>
                <w:sz w:val="20"/>
              </w:rPr>
              <w:t>Step 5</w:t>
            </w:r>
          </w:p>
        </w:tc>
        <w:tc>
          <w:tcPr>
            <w:tcW w:type="dxa" w:w="3120"/>
            <w:shd w:val="clear" w:color="auto" w:fill="FFFFFF"/>
            <w:tcMar>
              <w:top w:w="60" w:type="dxa"/>
              <w:bottom w:w="60" w:type="dxa"/>
              <w:left w:w="108" w:type="dxa"/>
              <w:right w:w="108" w:type="dxa"/>
            </w:tcMar>
          </w:tcPr>
          <w:p>
            <w:pPr>
              <w:jc w:val="left"/>
            </w:pPr>
            <w:r>
              <w:rPr>
                <w:rFonts w:ascii="Calibri" w:hAnsi="Calibri"/>
                <w:sz w:val="20"/>
              </w:rPr>
              <w:t>NPCI forwards ReqAuthDetails to Payee PSP</w:t>
            </w:r>
          </w:p>
        </w:tc>
        <w:tc>
          <w:tcPr>
            <w:tcW w:type="dxa" w:w="3120"/>
            <w:shd w:val="clear" w:color="auto" w:fill="FFFFFF"/>
            <w:tcMar>
              <w:top w:w="60" w:type="dxa"/>
              <w:bottom w:w="60" w:type="dxa"/>
              <w:left w:w="108" w:type="dxa"/>
              <w:right w:w="108" w:type="dxa"/>
            </w:tcMar>
          </w:tcPr>
          <w:p>
            <w:pPr>
              <w:jc w:val="left"/>
            </w:pPr>
            <w:r>
              <w:rPr>
                <w:rFonts w:ascii="Calibri" w:hAnsi="Calibri"/>
                <w:sz w:val="20"/>
              </w:rPr>
              <w:t>NPCI</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Step 6</w:t>
            </w:r>
          </w:p>
        </w:tc>
        <w:tc>
          <w:tcPr>
            <w:tcW w:type="dxa" w:w="3120"/>
            <w:shd w:val="clear" w:color="auto" w:fill="DBEAFE"/>
            <w:tcMar>
              <w:top w:w="60" w:type="dxa"/>
              <w:bottom w:w="60" w:type="dxa"/>
              <w:left w:w="108" w:type="dxa"/>
              <w:right w:w="108" w:type="dxa"/>
            </w:tcMar>
          </w:tcPr>
          <w:p>
            <w:pPr>
              <w:jc w:val="left"/>
            </w:pPr>
            <w:r>
              <w:rPr>
                <w:rFonts w:ascii="Calibri" w:hAnsi="Calibri"/>
                <w:sz w:val="20"/>
              </w:rPr>
              <w:t>Payee PSP validates merchant details and returns RespAuthDetails</w:t>
            </w:r>
          </w:p>
        </w:tc>
        <w:tc>
          <w:tcPr>
            <w:tcW w:type="dxa" w:w="3120"/>
            <w:shd w:val="clear" w:color="auto" w:fill="DBEAFE"/>
            <w:tcMar>
              <w:top w:w="60" w:type="dxa"/>
              <w:bottom w:w="60" w:type="dxa"/>
              <w:left w:w="108" w:type="dxa"/>
              <w:right w:w="108" w:type="dxa"/>
            </w:tcMar>
          </w:tcPr>
          <w:p>
            <w:pPr>
              <w:jc w:val="left"/>
            </w:pPr>
            <w:r>
              <w:rPr>
                <w:rFonts w:ascii="Calibri" w:hAnsi="Calibri"/>
                <w:sz w:val="20"/>
              </w:rPr>
              <w:t>Payee PSP</w:t>
            </w:r>
          </w:p>
        </w:tc>
      </w:tr>
      <w:tr>
        <w:tc>
          <w:tcPr>
            <w:tcW w:type="dxa" w:w="3120"/>
            <w:shd w:val="clear" w:color="auto" w:fill="FFFFFF"/>
            <w:tcMar>
              <w:top w:w="60" w:type="dxa"/>
              <w:bottom w:w="60" w:type="dxa"/>
              <w:left w:w="108" w:type="dxa"/>
              <w:right w:w="108" w:type="dxa"/>
            </w:tcMar>
          </w:tcPr>
          <w:p>
            <w:pPr>
              <w:jc w:val="left"/>
            </w:pPr>
            <w:r>
              <w:rPr>
                <w:rFonts w:ascii="Calibri" w:hAnsi="Calibri"/>
                <w:sz w:val="20"/>
              </w:rPr>
              <w:t>Step 7</w:t>
            </w:r>
          </w:p>
        </w:tc>
        <w:tc>
          <w:tcPr>
            <w:tcW w:type="dxa" w:w="3120"/>
            <w:shd w:val="clear" w:color="auto" w:fill="FFFFFF"/>
            <w:tcMar>
              <w:top w:w="60" w:type="dxa"/>
              <w:bottom w:w="60" w:type="dxa"/>
              <w:left w:w="108" w:type="dxa"/>
              <w:right w:w="108" w:type="dxa"/>
            </w:tcMar>
          </w:tcPr>
          <w:p>
            <w:pPr>
              <w:jc w:val="left"/>
            </w:pPr>
            <w:r>
              <w:rPr>
                <w:rFonts w:ascii="Calibri" w:hAnsi="Calibri"/>
                <w:sz w:val="20"/>
              </w:rPr>
              <w:t>Payer PSP sends ReqTxnConfirmation (or ReqDebit for voucher) to NPCI</w:t>
            </w:r>
          </w:p>
        </w:tc>
        <w:tc>
          <w:tcPr>
            <w:tcW w:type="dxa" w:w="3120"/>
            <w:shd w:val="clear" w:color="auto" w:fill="FFFFFF"/>
            <w:tcMar>
              <w:top w:w="60" w:type="dxa"/>
              <w:bottom w:w="60" w:type="dxa"/>
              <w:left w:w="108" w:type="dxa"/>
              <w:right w:w="108" w:type="dxa"/>
            </w:tcMar>
          </w:tcPr>
          <w:p>
            <w:pPr>
              <w:jc w:val="left"/>
            </w:pPr>
            <w:r>
              <w:rPr>
                <w:rFonts w:ascii="Calibri" w:hAnsi="Calibri"/>
                <w:sz w:val="20"/>
              </w:rPr>
              <w:t>Payer PSP</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Step 8</w:t>
            </w:r>
          </w:p>
        </w:tc>
        <w:tc>
          <w:tcPr>
            <w:tcW w:type="dxa" w:w="3120"/>
            <w:shd w:val="clear" w:color="auto" w:fill="DBEAFE"/>
            <w:tcMar>
              <w:top w:w="60" w:type="dxa"/>
              <w:bottom w:w="60" w:type="dxa"/>
              <w:left w:w="108" w:type="dxa"/>
              <w:right w:w="108" w:type="dxa"/>
            </w:tcMar>
          </w:tcPr>
          <w:p>
            <w:pPr>
              <w:jc w:val="left"/>
            </w:pPr>
            <w:r>
              <w:rPr>
                <w:rFonts w:ascii="Calibri" w:hAnsi="Calibri"/>
                <w:sz w:val="20"/>
              </w:rPr>
              <w:t>NPCI processes debit and returns RespTxnConfirmation to Payer PSP</w:t>
            </w:r>
          </w:p>
        </w:tc>
        <w:tc>
          <w:tcPr>
            <w:tcW w:type="dxa" w:w="3120"/>
            <w:shd w:val="clear" w:color="auto" w:fill="DBEAFE"/>
            <w:tcMar>
              <w:top w:w="60" w:type="dxa"/>
              <w:bottom w:w="60" w:type="dxa"/>
              <w:left w:w="108" w:type="dxa"/>
              <w:right w:w="108" w:type="dxa"/>
            </w:tcMar>
          </w:tcPr>
          <w:p>
            <w:pPr>
              <w:jc w:val="left"/>
            </w:pPr>
            <w:r>
              <w:rPr>
                <w:rFonts w:ascii="Calibri" w:hAnsi="Calibri"/>
                <w:sz w:val="20"/>
              </w:rPr>
              <w:t>NPCI</w:t>
            </w:r>
          </w:p>
        </w:tc>
      </w:tr>
      <w:tr>
        <w:tc>
          <w:tcPr>
            <w:tcW w:type="dxa" w:w="3120"/>
            <w:shd w:val="clear" w:color="auto" w:fill="FFFFFF"/>
            <w:tcMar>
              <w:top w:w="60" w:type="dxa"/>
              <w:bottom w:w="60" w:type="dxa"/>
              <w:left w:w="108" w:type="dxa"/>
              <w:right w:w="108" w:type="dxa"/>
            </w:tcMar>
          </w:tcPr>
          <w:p>
            <w:pPr>
              <w:jc w:val="left"/>
            </w:pPr>
            <w:r>
              <w:rPr>
                <w:rFonts w:ascii="Calibri" w:hAnsi="Calibri"/>
                <w:sz w:val="20"/>
              </w:rPr>
              <w:t>Post Response</w:t>
            </w:r>
          </w:p>
        </w:tc>
        <w:tc>
          <w:tcPr>
            <w:tcW w:type="dxa" w:w="3120"/>
            <w:shd w:val="clear" w:color="auto" w:fill="FFFFFF"/>
            <w:tcMar>
              <w:top w:w="60" w:type="dxa"/>
              <w:bottom w:w="60" w:type="dxa"/>
              <w:left w:w="108" w:type="dxa"/>
              <w:right w:w="108" w:type="dxa"/>
            </w:tcMar>
          </w:tcPr>
          <w:p>
            <w:pPr>
              <w:jc w:val="left"/>
            </w:pPr>
            <w:r>
              <w:rPr>
                <w:rFonts w:ascii="Calibri" w:hAnsi="Calibri"/>
                <w:sz w:val="20"/>
              </w:rPr>
              <w:t>Update UI with final transaction status (success or failure)</w:t>
            </w:r>
          </w:p>
        </w:tc>
        <w:tc>
          <w:tcPr>
            <w:tcW w:type="dxa" w:w="3120"/>
            <w:shd w:val="clear" w:color="auto" w:fill="FFFFFF"/>
            <w:tcMar>
              <w:top w:w="60" w:type="dxa"/>
              <w:bottom w:w="60" w:type="dxa"/>
              <w:left w:w="108" w:type="dxa"/>
              <w:right w:w="108" w:type="dxa"/>
            </w:tcMar>
          </w:tcPr>
          <w:p>
            <w:pPr>
              <w:jc w:val="left"/>
            </w:pPr>
            <w:r>
              <w:rPr>
                <w:rFonts w:ascii="Calibri" w:hAnsi="Calibri"/>
                <w:sz w:val="20"/>
              </w:rPr>
              <w:t>PSP App</w:t>
            </w:r>
          </w:p>
        </w:tc>
      </w:tr>
    </w:tbl>
    <w:p/>
    <w:p>
      <w:pPr>
        <w:pStyle w:val="Heading2"/>
        <w:spacing w:before="12" w:after="6"/>
      </w:pPr>
      <w:r>
        <w:t>Process Flow: Transaction</w:t>
      </w:r>
    </w:p>
    <w:p>
      <w:pPr>
        <w:jc w:val="center"/>
        <w:spacing w:before="12" w:after="6"/>
      </w:pPr>
      <w:r>
        <w:drawing>
          <wp:inline xmlns:a="http://schemas.openxmlformats.org/drawingml/2006/main" xmlns:pic="http://schemas.openxmlformats.org/drawingml/2006/picture">
            <wp:extent cx="5943600" cy="6073210"/>
            <wp:docPr id="2" name="Picture 2"/>
            <wp:cNvGraphicFramePr>
              <a:graphicFrameLocks noChangeAspect="1"/>
            </wp:cNvGraphicFramePr>
            <a:graphic>
              <a:graphicData uri="http://schemas.openxmlformats.org/drawingml/2006/picture">
                <pic:pic>
                  <pic:nvPicPr>
                    <pic:cNvPr id="0" name="diagram_4_2bc67e.png"/>
                    <pic:cNvPicPr/>
                  </pic:nvPicPr>
                  <pic:blipFill>
                    <a:blip r:embed="rId13"/>
                    <a:stretch>
                      <a:fillRect/>
                    </a:stretch>
                  </pic:blipFill>
                  <pic:spPr>
                    <a:xfrm>
                      <a:off x="0" y="0"/>
                      <a:ext cx="5943600" cy="6073210"/>
                    </a:xfrm>
                    <a:prstGeom prst="rect"/>
                  </pic:spPr>
                </pic:pic>
              </a:graphicData>
            </a:graphic>
          </wp:inline>
        </w:drawing>
      </w:r>
    </w:p>
    <w:p>
      <w:pPr>
        <w:jc w:val="center"/>
        <w:spacing w:before="0" w:after="12"/>
      </w:pPr>
      <w:r>
        <w:rPr>
          <w:i/>
          <w:color w:val="374151"/>
          <w:sz w:val="18"/>
        </w:rPr>
        <w:t>Figure: ### 1. Feature The **Dynamic Amount‑Suggestion** — sequence diagram. Steps: Step 1: Payer PSP — initiates ReqPay with amount, payerVPA, payeeVPA, purposeCode; Step 2: NPCI — forwards ReqAuthDetails to Payee PSP; Step 3: Payee PSP — validates merchant details, returns RespAuthDetails; Step 4: Payer PSP — sends ReqTxnConfirmation (or ReqDebit for voucher) to NPCI; Step 5: NPCI — processes debit, returns RespTxnConfirmation to Payer PSP</w:t>
      </w:r>
    </w:p>
    <w:p>
      <w:pPr>
        <w:spacing w:before="0" w:after="8"/>
      </w:pPr>
      <w:r>
        <w:rPr>
          <w:rFonts w:ascii="Calibri" w:hAnsi="Calibri"/>
          <w:color w:val="0A0A0A"/>
          <w:sz w:val="22"/>
        </w:rPr>
        <w:t>Smart Amount Suggestion for Payments augments the standard UPI payment flow by first retrieving up to three personalized amount suggestions based on the payer's recent transaction history. The suggestion request is issued via the GetAmountSuggestions API, after which the user selects a suggested amount or edits it before proceeding. The selected amount then follows the conventional UPI transaction sequence, ensuring compliance with existing per‑transaction limits and UPI PIN authentication.</w:t>
      </w:r>
    </w:p>
    <w:p>
      <w:pPr>
        <w:spacing w:before="0" w:after="8"/>
      </w:pPr>
      <w:r>
        <w:rPr>
          <w:rFonts w:ascii="Calibri" w:hAnsi="Calibri"/>
          <w:color w:val="0A0A0A"/>
          <w:sz w:val="22"/>
        </w:rPr>
        <w:t>All transactions are subject to the standard limits of INR 15,000 for standard UPI and INR 500 for UPI‑Lite, with daily aggregate caps unchanged. The flow leverages the existing ReqPay, ReqAuthDetails, ReqTxnConfirmation (or ReqDebit) and RespPay messages, preserving the established roles of Payer PSP, NPCI, and Payee PSP while introducing no new error codes.</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color="auto" w:fill="1D4ED8"/>
            <w:tcMar>
              <w:top w:w="60" w:type="dxa"/>
              <w:bottom w:w="60" w:type="dxa"/>
              <w:left w:w="108" w:type="dxa"/>
              <w:right w:w="108" w:type="dxa"/>
            </w:tcMar>
          </w:tcPr>
          <w:p>
            <w:pPr>
              <w:jc w:val="center"/>
            </w:pPr>
            <w:r>
              <w:rPr>
                <w:rFonts w:ascii="Calibri" w:hAnsi="Calibri"/>
                <w:b/>
                <w:color w:val="FFFFFF"/>
                <w:sz w:val="20"/>
              </w:rPr>
              <w:t>Step</w:t>
            </w:r>
          </w:p>
        </w:tc>
        <w:tc>
          <w:tcPr>
            <w:tcW w:type="dxa" w:w="3120"/>
            <w:shd w:val="clear" w:color="auto" w:fill="1D4ED8"/>
            <w:tcMar>
              <w:top w:w="60" w:type="dxa"/>
              <w:bottom w:w="60" w:type="dxa"/>
              <w:left w:w="108" w:type="dxa"/>
              <w:right w:w="108" w:type="dxa"/>
            </w:tcMar>
          </w:tcPr>
          <w:p>
            <w:pPr>
              <w:jc w:val="center"/>
            </w:pPr>
            <w:r>
              <w:rPr>
                <w:rFonts w:ascii="Calibri" w:hAnsi="Calibri"/>
                <w:b/>
                <w:color w:val="FFFFFF"/>
                <w:sz w:val="20"/>
              </w:rPr>
              <w:t>Activity</w:t>
            </w:r>
          </w:p>
        </w:tc>
        <w:tc>
          <w:tcPr>
            <w:tcW w:type="dxa" w:w="3120"/>
            <w:shd w:val="clear" w:color="auto" w:fill="1D4ED8"/>
            <w:tcMar>
              <w:top w:w="60" w:type="dxa"/>
              <w:bottom w:w="60" w:type="dxa"/>
              <w:left w:w="108" w:type="dxa"/>
              <w:right w:w="108" w:type="dxa"/>
            </w:tcMar>
          </w:tcPr>
          <w:p>
            <w:pPr>
              <w:jc w:val="center"/>
            </w:pPr>
            <w:r>
              <w:rPr>
                <w:rFonts w:ascii="Calibri" w:hAnsi="Calibri"/>
                <w:b/>
                <w:color w:val="FFFFFF"/>
                <w:sz w:val="20"/>
              </w:rPr>
              <w:t>Responsible</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Pre-Check</w:t>
            </w:r>
          </w:p>
        </w:tc>
        <w:tc>
          <w:tcPr>
            <w:tcW w:type="dxa" w:w="3120"/>
            <w:shd w:val="clear" w:color="auto" w:fill="DBEAFE"/>
            <w:tcMar>
              <w:top w:w="60" w:type="dxa"/>
              <w:bottom w:w="60" w:type="dxa"/>
              <w:left w:w="108" w:type="dxa"/>
              <w:right w:w="108" w:type="dxa"/>
            </w:tcMar>
          </w:tcPr>
          <w:p>
            <w:pPr>
              <w:jc w:val="left"/>
            </w:pPr>
            <w:r>
              <w:rPr>
                <w:rFonts w:ascii="Calibri" w:hAnsi="Calibri"/>
                <w:sz w:val="20"/>
              </w:rPr>
              <w:t>App invokes GetAmountSuggestions on Payer PSP; suggestions returned for user selection</w:t>
            </w:r>
          </w:p>
        </w:tc>
        <w:tc>
          <w:tcPr>
            <w:tcW w:type="dxa" w:w="3120"/>
            <w:shd w:val="clear" w:color="auto" w:fill="DBEAFE"/>
            <w:tcMar>
              <w:top w:w="60" w:type="dxa"/>
              <w:bottom w:w="60" w:type="dxa"/>
              <w:left w:w="108" w:type="dxa"/>
              <w:right w:w="108" w:type="dxa"/>
            </w:tcMar>
          </w:tcPr>
          <w:p>
            <w:pPr>
              <w:jc w:val="left"/>
            </w:pPr>
            <w:r>
              <w:rPr>
                <w:rFonts w:ascii="Calibri" w:hAnsi="Calibri"/>
                <w:sz w:val="20"/>
              </w:rPr>
              <w:t>Payer PSP</w:t>
            </w:r>
          </w:p>
        </w:tc>
      </w:tr>
      <w:tr>
        <w:tc>
          <w:tcPr>
            <w:tcW w:type="dxa" w:w="3120"/>
            <w:shd w:val="clear" w:color="auto" w:fill="FFFFFF"/>
            <w:tcMar>
              <w:top w:w="60" w:type="dxa"/>
              <w:bottom w:w="60" w:type="dxa"/>
              <w:left w:w="108" w:type="dxa"/>
              <w:right w:w="108" w:type="dxa"/>
            </w:tcMar>
          </w:tcPr>
          <w:p>
            <w:pPr>
              <w:jc w:val="left"/>
            </w:pPr>
            <w:r>
              <w:rPr>
                <w:rFonts w:ascii="Calibri" w:hAnsi="Calibri"/>
                <w:sz w:val="20"/>
              </w:rPr>
              <w:t>Step 1</w:t>
            </w:r>
          </w:p>
        </w:tc>
        <w:tc>
          <w:tcPr>
            <w:tcW w:type="dxa" w:w="3120"/>
            <w:shd w:val="clear" w:color="auto" w:fill="FFFFFF"/>
            <w:tcMar>
              <w:top w:w="60" w:type="dxa"/>
              <w:bottom w:w="60" w:type="dxa"/>
              <w:left w:w="108" w:type="dxa"/>
              <w:right w:w="108" w:type="dxa"/>
            </w:tcMar>
          </w:tcPr>
          <w:p>
            <w:pPr>
              <w:jc w:val="left"/>
            </w:pPr>
            <w:r>
              <w:rPr>
                <w:rFonts w:ascii="Calibri" w:hAnsi="Calibri"/>
                <w:sz w:val="20"/>
              </w:rPr>
              <w:t>Payer PSP sends ReqPay with selected amount, payerVPA, payeeVPA, purposeCode</w:t>
            </w:r>
          </w:p>
        </w:tc>
        <w:tc>
          <w:tcPr>
            <w:tcW w:type="dxa" w:w="3120"/>
            <w:shd w:val="clear" w:color="auto" w:fill="FFFFFF"/>
            <w:tcMar>
              <w:top w:w="60" w:type="dxa"/>
              <w:bottom w:w="60" w:type="dxa"/>
              <w:left w:w="108" w:type="dxa"/>
              <w:right w:w="108" w:type="dxa"/>
            </w:tcMar>
          </w:tcPr>
          <w:p>
            <w:pPr>
              <w:jc w:val="left"/>
            </w:pPr>
            <w:r>
              <w:rPr>
                <w:rFonts w:ascii="Calibri" w:hAnsi="Calibri"/>
                <w:sz w:val="20"/>
              </w:rPr>
              <w:t>Payer PSP</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Step 2</w:t>
            </w:r>
          </w:p>
        </w:tc>
        <w:tc>
          <w:tcPr>
            <w:tcW w:type="dxa" w:w="3120"/>
            <w:shd w:val="clear" w:color="auto" w:fill="DBEAFE"/>
            <w:tcMar>
              <w:top w:w="60" w:type="dxa"/>
              <w:bottom w:w="60" w:type="dxa"/>
              <w:left w:w="108" w:type="dxa"/>
              <w:right w:w="108" w:type="dxa"/>
            </w:tcMar>
          </w:tcPr>
          <w:p>
            <w:pPr>
              <w:jc w:val="left"/>
            </w:pPr>
            <w:r>
              <w:rPr>
                <w:rFonts w:ascii="Calibri" w:hAnsi="Calibri"/>
                <w:sz w:val="20"/>
              </w:rPr>
              <w:t>NPCI forwards ReqAuthDetails to Payee PSP</w:t>
            </w:r>
          </w:p>
        </w:tc>
        <w:tc>
          <w:tcPr>
            <w:tcW w:type="dxa" w:w="3120"/>
            <w:shd w:val="clear" w:color="auto" w:fill="DBEAFE"/>
            <w:tcMar>
              <w:top w:w="60" w:type="dxa"/>
              <w:bottom w:w="60" w:type="dxa"/>
              <w:left w:w="108" w:type="dxa"/>
              <w:right w:w="108" w:type="dxa"/>
            </w:tcMar>
          </w:tcPr>
          <w:p>
            <w:pPr>
              <w:jc w:val="left"/>
            </w:pPr>
            <w:r>
              <w:rPr>
                <w:rFonts w:ascii="Calibri" w:hAnsi="Calibri"/>
                <w:sz w:val="20"/>
              </w:rPr>
              <w:t>NPCI</w:t>
            </w:r>
          </w:p>
        </w:tc>
      </w:tr>
      <w:tr>
        <w:tc>
          <w:tcPr>
            <w:tcW w:type="dxa" w:w="3120"/>
            <w:shd w:val="clear" w:color="auto" w:fill="FFFFFF"/>
            <w:tcMar>
              <w:top w:w="60" w:type="dxa"/>
              <w:bottom w:w="60" w:type="dxa"/>
              <w:left w:w="108" w:type="dxa"/>
              <w:right w:w="108" w:type="dxa"/>
            </w:tcMar>
          </w:tcPr>
          <w:p>
            <w:pPr>
              <w:jc w:val="left"/>
            </w:pPr>
            <w:r>
              <w:rPr>
                <w:rFonts w:ascii="Calibri" w:hAnsi="Calibri"/>
                <w:sz w:val="20"/>
              </w:rPr>
              <w:t>Step 3</w:t>
            </w:r>
          </w:p>
        </w:tc>
        <w:tc>
          <w:tcPr>
            <w:tcW w:type="dxa" w:w="3120"/>
            <w:shd w:val="clear" w:color="auto" w:fill="FFFFFF"/>
            <w:tcMar>
              <w:top w:w="60" w:type="dxa"/>
              <w:bottom w:w="60" w:type="dxa"/>
              <w:left w:w="108" w:type="dxa"/>
              <w:right w:w="108" w:type="dxa"/>
            </w:tcMar>
          </w:tcPr>
          <w:p>
            <w:pPr>
              <w:jc w:val="left"/>
            </w:pPr>
            <w:r>
              <w:rPr>
                <w:rFonts w:ascii="Calibri" w:hAnsi="Calibri"/>
                <w:sz w:val="20"/>
              </w:rPr>
              <w:t>Payee PSP validates merchant details and returns RespAuthDetails</w:t>
            </w:r>
          </w:p>
        </w:tc>
        <w:tc>
          <w:tcPr>
            <w:tcW w:type="dxa" w:w="3120"/>
            <w:shd w:val="clear" w:color="auto" w:fill="FFFFFF"/>
            <w:tcMar>
              <w:top w:w="60" w:type="dxa"/>
              <w:bottom w:w="60" w:type="dxa"/>
              <w:left w:w="108" w:type="dxa"/>
              <w:right w:w="108" w:type="dxa"/>
            </w:tcMar>
          </w:tcPr>
          <w:p>
            <w:pPr>
              <w:jc w:val="left"/>
            </w:pPr>
            <w:r>
              <w:rPr>
                <w:rFonts w:ascii="Calibri" w:hAnsi="Calibri"/>
                <w:sz w:val="20"/>
              </w:rPr>
              <w:t>Payee PSP</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Step 4</w:t>
            </w:r>
          </w:p>
        </w:tc>
        <w:tc>
          <w:tcPr>
            <w:tcW w:type="dxa" w:w="3120"/>
            <w:shd w:val="clear" w:color="auto" w:fill="DBEAFE"/>
            <w:tcMar>
              <w:top w:w="60" w:type="dxa"/>
              <w:bottom w:w="60" w:type="dxa"/>
              <w:left w:w="108" w:type="dxa"/>
              <w:right w:w="108" w:type="dxa"/>
            </w:tcMar>
          </w:tcPr>
          <w:p>
            <w:pPr>
              <w:jc w:val="left"/>
            </w:pPr>
            <w:r>
              <w:rPr>
                <w:rFonts w:ascii="Calibri" w:hAnsi="Calibri"/>
                <w:sz w:val="20"/>
              </w:rPr>
              <w:t>Payer PSP sends ReqTxnConfirmation (or ReqDebit for voucher) to NPCI</w:t>
            </w:r>
          </w:p>
        </w:tc>
        <w:tc>
          <w:tcPr>
            <w:tcW w:type="dxa" w:w="3120"/>
            <w:shd w:val="clear" w:color="auto" w:fill="DBEAFE"/>
            <w:tcMar>
              <w:top w:w="60" w:type="dxa"/>
              <w:bottom w:w="60" w:type="dxa"/>
              <w:left w:w="108" w:type="dxa"/>
              <w:right w:w="108" w:type="dxa"/>
            </w:tcMar>
          </w:tcPr>
          <w:p>
            <w:pPr>
              <w:jc w:val="left"/>
            </w:pPr>
            <w:r>
              <w:rPr>
                <w:rFonts w:ascii="Calibri" w:hAnsi="Calibri"/>
                <w:sz w:val="20"/>
              </w:rPr>
              <w:t>Payer PSP</w:t>
            </w:r>
          </w:p>
        </w:tc>
      </w:tr>
      <w:tr>
        <w:tc>
          <w:tcPr>
            <w:tcW w:type="dxa" w:w="3120"/>
            <w:shd w:val="clear" w:color="auto" w:fill="FFFFFF"/>
            <w:tcMar>
              <w:top w:w="60" w:type="dxa"/>
              <w:bottom w:w="60" w:type="dxa"/>
              <w:left w:w="108" w:type="dxa"/>
              <w:right w:w="108" w:type="dxa"/>
            </w:tcMar>
          </w:tcPr>
          <w:p>
            <w:pPr>
              <w:jc w:val="left"/>
            </w:pPr>
            <w:r>
              <w:rPr>
                <w:rFonts w:ascii="Calibri" w:hAnsi="Calibri"/>
                <w:sz w:val="20"/>
              </w:rPr>
              <w:t>Step 5</w:t>
            </w:r>
          </w:p>
        </w:tc>
        <w:tc>
          <w:tcPr>
            <w:tcW w:type="dxa" w:w="3120"/>
            <w:shd w:val="clear" w:color="auto" w:fill="FFFFFF"/>
            <w:tcMar>
              <w:top w:w="60" w:type="dxa"/>
              <w:bottom w:w="60" w:type="dxa"/>
              <w:left w:w="108" w:type="dxa"/>
              <w:right w:w="108" w:type="dxa"/>
            </w:tcMar>
          </w:tcPr>
          <w:p>
            <w:pPr>
              <w:jc w:val="left"/>
            </w:pPr>
            <w:r>
              <w:rPr>
                <w:rFonts w:ascii="Calibri" w:hAnsi="Calibri"/>
                <w:sz w:val="20"/>
              </w:rPr>
              <w:t>NPCI processes debit, applies limits, and returns RespTxnConfirmation to Payer PSP</w:t>
            </w:r>
          </w:p>
        </w:tc>
        <w:tc>
          <w:tcPr>
            <w:tcW w:type="dxa" w:w="3120"/>
            <w:shd w:val="clear" w:color="auto" w:fill="FFFFFF"/>
            <w:tcMar>
              <w:top w:w="60" w:type="dxa"/>
              <w:bottom w:w="60" w:type="dxa"/>
              <w:left w:w="108" w:type="dxa"/>
              <w:right w:w="108" w:type="dxa"/>
            </w:tcMar>
          </w:tcPr>
          <w:p>
            <w:pPr>
              <w:jc w:val="left"/>
            </w:pPr>
            <w:r>
              <w:rPr>
                <w:rFonts w:ascii="Calibri" w:hAnsi="Calibri"/>
                <w:sz w:val="20"/>
              </w:rPr>
              <w:t>NPCI</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Post Response</w:t>
            </w:r>
          </w:p>
        </w:tc>
        <w:tc>
          <w:tcPr>
            <w:tcW w:type="dxa" w:w="3120"/>
            <w:shd w:val="clear" w:color="auto" w:fill="DBEAFE"/>
            <w:tcMar>
              <w:top w:w="60" w:type="dxa"/>
              <w:bottom w:w="60" w:type="dxa"/>
              <w:left w:w="108" w:type="dxa"/>
              <w:right w:w="108" w:type="dxa"/>
            </w:tcMar>
          </w:tcPr>
          <w:p>
            <w:pPr>
              <w:jc w:val="left"/>
            </w:pPr>
            <w:r>
              <w:rPr>
                <w:rFonts w:ascii="Calibri" w:hAnsi="Calibri"/>
                <w:sz w:val="20"/>
              </w:rPr>
              <w:t>Payer PSP receives RespTxnConfirmation, notifies App, and completes the transaction</w:t>
            </w:r>
          </w:p>
        </w:tc>
        <w:tc>
          <w:tcPr>
            <w:tcW w:type="dxa" w:w="3120"/>
            <w:shd w:val="clear" w:color="auto" w:fill="DBEAFE"/>
            <w:tcMar>
              <w:top w:w="60" w:type="dxa"/>
              <w:bottom w:w="60" w:type="dxa"/>
              <w:left w:w="108" w:type="dxa"/>
              <w:right w:w="108" w:type="dxa"/>
            </w:tcMar>
          </w:tcPr>
          <w:p>
            <w:pPr>
              <w:jc w:val="left"/>
            </w:pPr>
            <w:r>
              <w:rPr>
                <w:rFonts w:ascii="Calibri" w:hAnsi="Calibri"/>
                <w:sz w:val="20"/>
              </w:rPr>
              <w:t>Payer PSP</w:t>
            </w:r>
          </w:p>
        </w:tc>
      </w:tr>
    </w:tbl>
    <w:p/>
    <w:p>
      <w:pPr>
        <w:spacing w:before="8" w:after="8"/>
        <w:shd w:val="clear" w:color="auto" w:fill="F2F2F2"/>
        <w:ind w:left="360"/>
      </w:pPr>
      <w:r>
        <w:rPr>
          <w:rFonts w:ascii="Courier New" w:hAnsi="Courier New"/>
          <w:color w:val="1F2D3D"/>
          <w:sz w:val="18"/>
        </w:rPr>
        <w:t>&lt;!-- Request: App to Payer PSP (GetAmountSuggestions) --&gt;</w:t>
        <w:br/>
      </w:r>
      <w:r>
        <w:rPr>
          <w:rFonts w:ascii="Courier New" w:hAnsi="Courier New"/>
          <w:color w:val="1F2D3D"/>
          <w:sz w:val="18"/>
        </w:rPr>
        <w:t>&lt;upi:GetAmountSuggestions xmlns:upi="http://npci.org/upi/schema/"&gt;</w:t>
        <w:br/>
      </w:r>
      <w:r>
        <w:rPr>
          <w:rFonts w:ascii="Courier New" w:hAnsi="Courier New"/>
          <w:color w:val="1F2D3D"/>
          <w:sz w:val="18"/>
        </w:rPr>
        <w:t xml:space="preserve">  &lt;upi:payerVPA&gt;alice@bank&lt;/upi:payerVPA&gt;</w:t>
        <w:br/>
      </w:r>
      <w:r>
        <w:rPr>
          <w:rFonts w:ascii="Courier New" w:hAnsi="Courier New"/>
          <w:color w:val="1F2D3D"/>
          <w:sz w:val="18"/>
        </w:rPr>
        <w:t xml:space="preserve">  &lt;upi:payeeVPA&gt;merchant@bank&lt;/upi:payeeVPA&gt;</w:t>
        <w:br/>
      </w:r>
      <w:r>
        <w:rPr>
          <w:rFonts w:ascii="Courier New" w:hAnsi="Courier New"/>
          <w:color w:val="1F2D3D"/>
          <w:sz w:val="18"/>
        </w:rPr>
        <w:t xml:space="preserve">  &lt;upi:maxSuggestions&gt;3&lt;/upi:maxSuggestions&gt;</w:t>
        <w:br/>
      </w:r>
      <w:r>
        <w:rPr>
          <w:rFonts w:ascii="Courier New" w:hAnsi="Courier New"/>
          <w:color w:val="1F2D3D"/>
          <w:sz w:val="18"/>
        </w:rPr>
        <w:t>&lt;/upi:GetAmountSuggestions&gt;</w:t>
      </w:r>
    </w:p>
    <w:p>
      <w:pPr>
        <w:spacing w:before="8" w:after="8"/>
        <w:shd w:val="clear" w:color="auto" w:fill="F2F2F2"/>
        <w:ind w:left="360"/>
      </w:pPr>
      <w:r>
        <w:rPr>
          <w:rFonts w:ascii="Courier New" w:hAnsi="Courier New"/>
          <w:color w:val="1F2D3D"/>
          <w:sz w:val="18"/>
        </w:rPr>
        <w:t>&lt;!-- Response: Payer PSP to App (GetAmountSuggestionsResponse) --&gt;</w:t>
        <w:br/>
      </w:r>
      <w:r>
        <w:rPr>
          <w:rFonts w:ascii="Courier New" w:hAnsi="Courier New"/>
          <w:color w:val="1F2D3D"/>
          <w:sz w:val="18"/>
        </w:rPr>
        <w:t>&lt;upi:GetAmountSuggestionsResponse xmlns:upi="http://npci.org/upi/schema/"&gt;</w:t>
        <w:br/>
      </w:r>
      <w:r>
        <w:rPr>
          <w:rFonts w:ascii="Courier New" w:hAnsi="Courier New"/>
          <w:color w:val="1F2D3D"/>
          <w:sz w:val="18"/>
        </w:rPr>
        <w:t xml:space="preserve">  &lt;upi:suggested_amounts&gt;</w:t>
        <w:br/>
      </w:r>
      <w:r>
        <w:rPr>
          <w:rFonts w:ascii="Courier New" w:hAnsi="Courier New"/>
          <w:color w:val="1F2D3D"/>
          <w:sz w:val="18"/>
        </w:rPr>
        <w:t xml:space="preserve">    &lt;upi:amount&gt;199&lt;/upi:amount&gt;</w:t>
        <w:br/>
      </w:r>
      <w:r>
        <w:rPr>
          <w:rFonts w:ascii="Courier New" w:hAnsi="Courier New"/>
          <w:color w:val="1F2D3D"/>
          <w:sz w:val="18"/>
        </w:rPr>
        <w:t xml:space="preserve">    &lt;upi:amount&gt;299&lt;/upi:amount&gt;</w:t>
        <w:br/>
      </w:r>
      <w:r>
        <w:rPr>
          <w:rFonts w:ascii="Courier New" w:hAnsi="Courier New"/>
          <w:color w:val="1F2D3D"/>
          <w:sz w:val="18"/>
        </w:rPr>
        <w:t xml:space="preserve">    &lt;upi:amount&gt;499&lt;/upi:amount&gt;</w:t>
        <w:br/>
      </w:r>
      <w:r>
        <w:rPr>
          <w:rFonts w:ascii="Courier New" w:hAnsi="Courier New"/>
          <w:color w:val="1F2D3D"/>
          <w:sz w:val="18"/>
        </w:rPr>
        <w:t xml:space="preserve">  &lt;/upi:suggested_amounts&gt;</w:t>
        <w:br/>
      </w:r>
      <w:r>
        <w:rPr>
          <w:rFonts w:ascii="Courier New" w:hAnsi="Courier New"/>
          <w:color w:val="1F2D3D"/>
          <w:sz w:val="18"/>
        </w:rPr>
        <w:t xml:space="preserve">  &lt;upi:confidence_score&gt;0.92&lt;/upi:confidence_score&gt;</w:t>
        <w:br/>
      </w:r>
      <w:r>
        <w:rPr>
          <w:rFonts w:ascii="Courier New" w:hAnsi="Courier New"/>
          <w:color w:val="1F2D3D"/>
          <w:sz w:val="18"/>
        </w:rPr>
        <w:t>&lt;/upi:GetAmountSuggestionsResponse&gt;</w:t>
      </w:r>
    </w:p>
    <w:p>
      <w:pPr>
        <w:spacing w:before="8" w:after="8"/>
        <w:shd w:val="clear" w:color="auto" w:fill="F2F2F2"/>
        <w:ind w:left="360"/>
      </w:pPr>
      <w:r>
        <w:rPr>
          <w:rFonts w:ascii="Courier New" w:hAnsi="Courier New"/>
          <w:color w:val="1F2D3D"/>
          <w:sz w:val="18"/>
        </w:rPr>
        <w:t>&lt;!-- Request: Payer PSP to NPCI (ReqPay) --&gt;</w:t>
        <w:br/>
      </w:r>
      <w:r>
        <w:rPr>
          <w:rFonts w:ascii="Courier New" w:hAnsi="Courier New"/>
          <w:color w:val="1F2D3D"/>
          <w:sz w:val="18"/>
        </w:rPr>
        <w:t>&lt;upi:ReqPay xmlns:upi="http://npci.org/upi/schema/"&gt;</w:t>
        <w:br/>
      </w:r>
      <w:r>
        <w:rPr>
          <w:rFonts w:ascii="Courier New" w:hAnsi="Courier New"/>
          <w:color w:val="1F2D3D"/>
          <w:sz w:val="18"/>
        </w:rPr>
        <w:t xml:space="preserve">  &lt;upi:amount&gt;199&lt;/upi:amount&gt;</w:t>
        <w:br/>
      </w:r>
      <w:r>
        <w:rPr>
          <w:rFonts w:ascii="Courier New" w:hAnsi="Courier New"/>
          <w:color w:val="1F2D3D"/>
          <w:sz w:val="18"/>
        </w:rPr>
        <w:t xml:space="preserve">  &lt;upi:payerVPA&gt;alice@bank&lt;/upi:payerVPA&gt;</w:t>
        <w:br/>
      </w:r>
      <w:r>
        <w:rPr>
          <w:rFonts w:ascii="Courier New" w:hAnsi="Courier New"/>
          <w:color w:val="1F2D3D"/>
          <w:sz w:val="18"/>
        </w:rPr>
        <w:t xml:space="preserve">  &lt;upi:payeeVPA&gt;merchant@bank&lt;/upi:payeeVPA&gt;</w:t>
        <w:br/>
      </w:r>
      <w:r>
        <w:rPr>
          <w:rFonts w:ascii="Courier New" w:hAnsi="Courier New"/>
          <w:color w:val="1F2D3D"/>
          <w:sz w:val="18"/>
        </w:rPr>
        <w:t xml:space="preserve">  &lt;upi:purposeCode&gt;0000&lt;/upi:purposeCode&gt;</w:t>
        <w:br/>
      </w:r>
      <w:r>
        <w:rPr>
          <w:rFonts w:ascii="Courier New" w:hAnsi="Courier New"/>
          <w:color w:val="1F2D3D"/>
          <w:sz w:val="18"/>
        </w:rPr>
        <w:t>&lt;/upi:ReqPay&gt;</w:t>
      </w:r>
    </w:p>
    <w:p>
      <w:pPr>
        <w:pStyle w:val="Heading1"/>
        <w:spacing w:before="18" w:after="6"/>
      </w:pPr>
      <w:r>
        <w:t>Technical Specifications</w:t>
      </w:r>
    </w:p>
    <w:p>
      <w:pPr>
        <w:spacing w:before="0" w:after="8"/>
      </w:pPr>
      <w:r>
        <w:rPr>
          <w:rFonts w:ascii="Calibri" w:hAnsi="Calibri"/>
          <w:color w:val="0A0A0A"/>
          <w:sz w:val="22"/>
        </w:rPr>
        <w:t>The Technical Specifications section details the UPI message set that underpins Smart Amount Suggestion for Payments. It specifies the existing core APIs—ReqPay/RespPay, ReqAuthDetails/RespAuthDetails, ReqTxnConfirmation/RespTxnConfirmation, and ReqDebit/RespDebit—along with the newly introduced GetAmountSuggestions request and its response. The scope of changes is limited to adding the GetAmountSuggestions message and extending the ReqPay flow to carry suggested_amount fields while preserving all existing per‑transaction and daily limits and authentication via UPI PIN.</w:t>
      </w:r>
    </w:p>
    <w:p>
      <w:pPr>
        <w:pStyle w:val="Heading2"/>
        <w:spacing w:before="12" w:after="6"/>
      </w:pPr>
      <w:r>
        <w:t>i. Primary API Specifications</w:t>
      </w:r>
    </w:p>
    <w:p>
      <w:pPr>
        <w:jc w:val="center"/>
        <w:spacing w:before="12" w:after="6"/>
      </w:pPr>
      <w:r>
        <w:drawing>
          <wp:inline xmlns:a="http://schemas.openxmlformats.org/drawingml/2006/main" xmlns:pic="http://schemas.openxmlformats.org/drawingml/2006/picture">
            <wp:extent cx="5943600" cy="6073210"/>
            <wp:docPr id="3" name="Picture 3"/>
            <wp:cNvGraphicFramePr>
              <a:graphicFrameLocks noChangeAspect="1"/>
            </wp:cNvGraphicFramePr>
            <a:graphic>
              <a:graphicData uri="http://schemas.openxmlformats.org/drawingml/2006/picture">
                <pic:pic>
                  <pic:nvPicPr>
                    <pic:cNvPr id="0" name="diagram_6_4783a2.png"/>
                    <pic:cNvPicPr/>
                  </pic:nvPicPr>
                  <pic:blipFill>
                    <a:blip r:embed="rId14"/>
                    <a:stretch>
                      <a:fillRect/>
                    </a:stretch>
                  </pic:blipFill>
                  <pic:spPr>
                    <a:xfrm>
                      <a:off x="0" y="0"/>
                      <a:ext cx="5943600" cy="6073210"/>
                    </a:xfrm>
                    <a:prstGeom prst="rect"/>
                  </pic:spPr>
                </pic:pic>
              </a:graphicData>
            </a:graphic>
          </wp:inline>
        </w:drawing>
      </w:r>
    </w:p>
    <w:p>
      <w:pPr>
        <w:jc w:val="center"/>
        <w:spacing w:before="0" w:after="12"/>
      </w:pPr>
      <w:r>
        <w:rPr>
          <w:i/>
          <w:color w:val="374151"/>
          <w:sz w:val="18"/>
        </w:rPr>
        <w:t>Figure: ### 1. Feature The **Dynamic Amount‑Suggestion** — sequence diagram. Steps: Step 1: Payer PSP — initiates ReqPay with amount, payerVPA, payeeVPA, purposeCode; Step 2: NPCI — forwards ReqAuthDetails to Payee PSP; Step 3: Payee PSP — validates merchant details, returns RespAuthDetails; Step 4: Payer PSP — sends ReqTxnConfirmation (or ReqDebit for voucher) to NPCI; Step 5: NPCI — processes debit, returns RespTxnConfirmation to Payer PSP</w:t>
      </w:r>
    </w:p>
    <w:p>
      <w:pPr>
        <w:spacing w:before="0" w:after="8"/>
      </w:pPr>
      <w:r>
        <w:rPr>
          <w:rFonts w:ascii="Calibri" w:hAnsi="Calibri"/>
          <w:color w:val="0A0A0A"/>
          <w:sz w:val="22"/>
        </w:rPr>
        <w:t>Smart Amount Suggestion for Payments introduces a data‑driven UI layer that surfaces up to three historically frequent amounts for a given merchant. The core UPI transaction flow remains unchanged, leveraging the existing ReqPay, ReqAuthDetails, ReqTxnConfirmation and ReqDebit messages while a new GetAmountSuggestions API supplies the suggestion list to the UPI app before the payment request is built.</w:t>
      </w:r>
    </w:p>
    <w:p>
      <w:pPr>
        <w:spacing w:before="0" w:after="8"/>
      </w:pPr>
      <w:r>
        <w:rPr>
          <w:rFonts w:ascii="Calibri" w:hAnsi="Calibri"/>
          <w:color w:val="0A0A0A"/>
          <w:sz w:val="22"/>
        </w:rPr>
        <w:t>The participant flow begins with the payer PSP invoking GetAmountSuggestions using the payer and payee VPA. The response returns up to three suggested_amount values and an optional confidence_score. The app then presents these amounts; the user selects one and the PSP proceeds with the standard ReqPay sequence, followed by authentication, debit and confirmation as defined in the UPI specification.</w:t>
      </w:r>
    </w:p>
    <w:p>
      <w:pPr>
        <w:pStyle w:val="ListBullet"/>
        <w:spacing w:before="0" w:after="4"/>
      </w:pPr>
      <w:r>
        <w:rPr>
          <w:rFonts w:ascii="Calibri" w:hAnsi="Calibri"/>
          <w:sz w:val="22"/>
        </w:rPr>
        <w:t>ReqPay – initiates payment with amount, payerVPA, payeeVPA, purposeCode.</w:t>
      </w:r>
    </w:p>
    <w:p>
      <w:pPr>
        <w:pStyle w:val="ListBullet"/>
        <w:spacing w:before="0" w:after="4"/>
      </w:pPr>
      <w:r>
        <w:rPr>
          <w:rFonts w:ascii="Calibri" w:hAnsi="Calibri"/>
          <w:sz w:val="22"/>
        </w:rPr>
        <w:t>ReqAuthDetails – NPCI requests authentication details from the payee PSP.</w:t>
      </w:r>
    </w:p>
    <w:p>
      <w:pPr>
        <w:pStyle w:val="ListBullet"/>
        <w:spacing w:before="0" w:after="4"/>
      </w:pPr>
      <w:r>
        <w:rPr>
          <w:rFonts w:ascii="Calibri" w:hAnsi="Calibri"/>
          <w:sz w:val="22"/>
        </w:rPr>
        <w:t>ReqTxnConfirmation – payer PSP confirms transaction after authentication.</w:t>
      </w:r>
    </w:p>
    <w:p>
      <w:pPr>
        <w:pStyle w:val="ListBullet"/>
        <w:spacing w:before="0" w:after="4"/>
      </w:pPr>
      <w:r>
        <w:rPr>
          <w:rFonts w:ascii="Calibri" w:hAnsi="Calibri"/>
          <w:sz w:val="22"/>
        </w:rPr>
        <w:t>ReqDebit – NPCI debits the payer account or voucher.</w:t>
      </w:r>
    </w:p>
    <w:p>
      <w:pPr>
        <w:pStyle w:val="ListBullet"/>
        <w:spacing w:before="0" w:after="4"/>
      </w:pPr>
      <w:r>
        <w:rPr>
          <w:rFonts w:ascii="Calibri" w:hAnsi="Calibri"/>
          <w:sz w:val="22"/>
        </w:rPr>
        <w:t>GetAmountSuggestions – new JSON API that returns personalized amount suggestions.</w:t>
      </w:r>
    </w:p>
    <w:p>
      <w:pPr>
        <w:pStyle w:val="ListNumber"/>
        <w:spacing w:before="0" w:after="4"/>
      </w:pPr>
      <w:r>
        <w:rPr>
          <w:rFonts w:ascii="Calibri" w:hAnsi="Calibri"/>
          <w:sz w:val="22"/>
        </w:rPr>
        <w:t>Step 1 – Payer PSP calls GetAmountSuggestions (payerVPA, payeeVPA, maxSuggestions).</w:t>
      </w:r>
    </w:p>
    <w:p>
      <w:pPr>
        <w:pStyle w:val="ListNumber"/>
        <w:spacing w:before="0" w:after="4"/>
      </w:pPr>
      <w:r>
        <w:rPr>
          <w:rFonts w:ascii="Calibri" w:hAnsi="Calibri"/>
          <w:sz w:val="22"/>
        </w:rPr>
        <w:t>Step 2 – PSP receives up to three suggested_amounts and optional confidence_score.</w:t>
      </w:r>
    </w:p>
    <w:p>
      <w:pPr>
        <w:pStyle w:val="ListNumber"/>
        <w:spacing w:before="0" w:after="4"/>
      </w:pPr>
      <w:r>
        <w:rPr>
          <w:rFonts w:ascii="Calibri" w:hAnsi="Calibri"/>
          <w:sz w:val="22"/>
        </w:rPr>
        <w:t>Step 3 – User selects a suggestion; PSP sends ReqPay to NPCI.</w:t>
      </w:r>
    </w:p>
    <w:p>
      <w:pPr>
        <w:pStyle w:val="ListNumber"/>
        <w:spacing w:before="0" w:after="4"/>
      </w:pPr>
      <w:r>
        <w:rPr>
          <w:rFonts w:ascii="Calibri" w:hAnsi="Calibri"/>
          <w:sz w:val="22"/>
        </w:rPr>
        <w:t>Step 4 – NPCI forwards ReqAuthDetails to Payee PSP and receives RespAuthDetails.</w:t>
      </w:r>
    </w:p>
    <w:p>
      <w:pPr>
        <w:pStyle w:val="ListNumber"/>
        <w:spacing w:before="0" w:after="4"/>
      </w:pPr>
      <w:r>
        <w:rPr>
          <w:rFonts w:ascii="Calibri" w:hAnsi="Calibri"/>
          <w:sz w:val="22"/>
        </w:rPr>
        <w:t>Step 5 – PSP sends ReqTxnConfirmation (or ReqDebit) and receives final confirmation.</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val="clear" w:color="auto" w:fill="1D4ED8"/>
            <w:tcMar>
              <w:top w:w="60" w:type="dxa"/>
              <w:bottom w:w="60" w:type="dxa"/>
              <w:left w:w="108" w:type="dxa"/>
              <w:right w:w="108" w:type="dxa"/>
            </w:tcMar>
          </w:tcPr>
          <w:p>
            <w:pPr>
              <w:jc w:val="center"/>
            </w:pPr>
            <w:r>
              <w:rPr>
                <w:rFonts w:ascii="Calibri" w:hAnsi="Calibri"/>
                <w:b/>
                <w:color w:val="FFFFFF"/>
                <w:sz w:val="20"/>
              </w:rPr>
              <w:t>Field Name</w:t>
            </w:r>
          </w:p>
        </w:tc>
        <w:tc>
          <w:tcPr>
            <w:tcW w:type="dxa" w:w="1872"/>
            <w:shd w:val="clear" w:color="auto" w:fill="1D4ED8"/>
            <w:tcMar>
              <w:top w:w="60" w:type="dxa"/>
              <w:bottom w:w="60" w:type="dxa"/>
              <w:left w:w="108" w:type="dxa"/>
              <w:right w:w="108" w:type="dxa"/>
            </w:tcMar>
          </w:tcPr>
          <w:p>
            <w:pPr>
              <w:jc w:val="center"/>
            </w:pPr>
            <w:r>
              <w:rPr>
                <w:rFonts w:ascii="Calibri" w:hAnsi="Calibri"/>
                <w:b/>
                <w:color w:val="FFFFFF"/>
                <w:sz w:val="20"/>
              </w:rPr>
              <w:t>dType</w:t>
            </w:r>
          </w:p>
        </w:tc>
        <w:tc>
          <w:tcPr>
            <w:tcW w:type="dxa" w:w="1872"/>
            <w:shd w:val="clear" w:color="auto" w:fill="1D4ED8"/>
            <w:tcMar>
              <w:top w:w="60" w:type="dxa"/>
              <w:bottom w:w="60" w:type="dxa"/>
              <w:left w:w="108" w:type="dxa"/>
              <w:right w:w="108" w:type="dxa"/>
            </w:tcMar>
          </w:tcPr>
          <w:p>
            <w:pPr>
              <w:jc w:val="center"/>
            </w:pPr>
            <w:r>
              <w:rPr>
                <w:rFonts w:ascii="Calibri" w:hAnsi="Calibri"/>
                <w:b/>
                <w:color w:val="FFFFFF"/>
                <w:sz w:val="20"/>
              </w:rPr>
              <w:t>dLength</w:t>
            </w:r>
          </w:p>
        </w:tc>
        <w:tc>
          <w:tcPr>
            <w:tcW w:type="dxa" w:w="1872"/>
            <w:shd w:val="clear" w:color="auto" w:fill="1D4ED8"/>
            <w:tcMar>
              <w:top w:w="60" w:type="dxa"/>
              <w:bottom w:w="60" w:type="dxa"/>
              <w:left w:w="108" w:type="dxa"/>
              <w:right w:w="108" w:type="dxa"/>
            </w:tcMar>
          </w:tcPr>
          <w:p>
            <w:pPr>
              <w:jc w:val="center"/>
            </w:pPr>
            <w:r>
              <w:rPr>
                <w:rFonts w:ascii="Calibri" w:hAnsi="Calibri"/>
                <w:b/>
                <w:color w:val="FFFFFF"/>
                <w:sz w:val="20"/>
              </w:rPr>
              <w:t>Description</w:t>
            </w:r>
          </w:p>
        </w:tc>
        <w:tc>
          <w:tcPr>
            <w:tcW w:type="dxa" w:w="1872"/>
            <w:shd w:val="clear" w:color="auto" w:fill="1D4ED8"/>
            <w:tcMar>
              <w:top w:w="60" w:type="dxa"/>
              <w:bottom w:w="60" w:type="dxa"/>
              <w:left w:w="108" w:type="dxa"/>
              <w:right w:w="108" w:type="dxa"/>
            </w:tcMar>
          </w:tcPr>
          <w:p>
            <w:pPr>
              <w:jc w:val="center"/>
            </w:pPr>
            <w:r>
              <w:rPr>
                <w:rFonts w:ascii="Calibri" w:hAnsi="Calibri"/>
                <w:b/>
                <w:color w:val="FFFFFF"/>
                <w:sz w:val="20"/>
              </w:rPr>
              <w:t>Mandatory</w:t>
            </w:r>
          </w:p>
        </w:tc>
      </w:tr>
      <w:tr>
        <w:tc>
          <w:tcPr>
            <w:tcW w:type="dxa" w:w="1872"/>
            <w:shd w:val="clear" w:color="auto" w:fill="DBEAFE"/>
            <w:tcMar>
              <w:top w:w="60" w:type="dxa"/>
              <w:bottom w:w="60" w:type="dxa"/>
              <w:left w:w="108" w:type="dxa"/>
              <w:right w:w="108" w:type="dxa"/>
            </w:tcMar>
          </w:tcPr>
          <w:p>
            <w:pPr>
              <w:jc w:val="left"/>
            </w:pPr>
            <w:r>
              <w:rPr>
                <w:rFonts w:ascii="Calibri" w:hAnsi="Calibri"/>
                <w:sz w:val="20"/>
              </w:rPr>
              <w:t>payerVPA</w:t>
            </w:r>
          </w:p>
        </w:tc>
        <w:tc>
          <w:tcPr>
            <w:tcW w:type="dxa" w:w="1872"/>
            <w:shd w:val="clear" w:color="auto" w:fill="DBEAFE"/>
            <w:tcMar>
              <w:top w:w="60" w:type="dxa"/>
              <w:bottom w:w="60" w:type="dxa"/>
              <w:left w:w="108" w:type="dxa"/>
              <w:right w:w="108" w:type="dxa"/>
            </w:tcMar>
          </w:tcPr>
          <w:p>
            <w:pPr>
              <w:jc w:val="left"/>
            </w:pPr>
            <w:r>
              <w:rPr>
                <w:rFonts w:ascii="Calibri" w:hAnsi="Calibri"/>
                <w:sz w:val="20"/>
              </w:rPr>
              <w:t>String</w:t>
            </w:r>
          </w:p>
        </w:tc>
        <w:tc>
          <w:tcPr>
            <w:tcW w:type="dxa" w:w="1872"/>
            <w:shd w:val="clear" w:color="auto" w:fill="DBEAFE"/>
            <w:tcMar>
              <w:top w:w="60" w:type="dxa"/>
              <w:bottom w:w="60" w:type="dxa"/>
              <w:left w:w="108" w:type="dxa"/>
              <w:right w:w="108" w:type="dxa"/>
            </w:tcMar>
          </w:tcPr>
          <w:p>
            <w:pPr>
              <w:jc w:val="left"/>
            </w:pPr>
            <w:r>
              <w:rPr>
                <w:rFonts w:ascii="Calibri" w:hAnsi="Calibri"/>
                <w:sz w:val="20"/>
              </w:rPr>
              <w:t>64</w:t>
            </w:r>
          </w:p>
        </w:tc>
        <w:tc>
          <w:tcPr>
            <w:tcW w:type="dxa" w:w="1872"/>
            <w:shd w:val="clear" w:color="auto" w:fill="DBEAFE"/>
            <w:tcMar>
              <w:top w:w="60" w:type="dxa"/>
              <w:bottom w:w="60" w:type="dxa"/>
              <w:left w:w="108" w:type="dxa"/>
              <w:right w:w="108" w:type="dxa"/>
            </w:tcMar>
          </w:tcPr>
          <w:p>
            <w:pPr>
              <w:jc w:val="left"/>
            </w:pPr>
            <w:r>
              <w:rPr>
                <w:rFonts w:ascii="Calibri" w:hAnsi="Calibri"/>
                <w:sz w:val="20"/>
              </w:rPr>
              <w:t>Virtual Payment Address of the payer</w:t>
            </w:r>
          </w:p>
        </w:tc>
        <w:tc>
          <w:tcPr>
            <w:tcW w:type="dxa" w:w="1872"/>
            <w:shd w:val="clear" w:color="auto" w:fill="DBEAFE"/>
            <w:tcMar>
              <w:top w:w="60" w:type="dxa"/>
              <w:bottom w:w="60" w:type="dxa"/>
              <w:left w:w="108" w:type="dxa"/>
              <w:right w:w="108" w:type="dxa"/>
            </w:tcMar>
          </w:tcPr>
          <w:p>
            <w:pPr>
              <w:jc w:val="left"/>
            </w:pPr>
            <w:r>
              <w:rPr>
                <w:rFonts w:ascii="Calibri" w:hAnsi="Calibri"/>
                <w:sz w:val="20"/>
              </w:rPr>
              <w:t>Y</w:t>
            </w:r>
          </w:p>
        </w:tc>
      </w:tr>
      <w:tr>
        <w:tc>
          <w:tcPr>
            <w:tcW w:type="dxa" w:w="1872"/>
            <w:shd w:val="clear" w:color="auto" w:fill="FFFFFF"/>
            <w:tcMar>
              <w:top w:w="60" w:type="dxa"/>
              <w:bottom w:w="60" w:type="dxa"/>
              <w:left w:w="108" w:type="dxa"/>
              <w:right w:w="108" w:type="dxa"/>
            </w:tcMar>
          </w:tcPr>
          <w:p>
            <w:pPr>
              <w:jc w:val="left"/>
            </w:pPr>
            <w:r>
              <w:rPr>
                <w:rFonts w:ascii="Calibri" w:hAnsi="Calibri"/>
                <w:sz w:val="20"/>
              </w:rPr>
              <w:t>payeeVPA</w:t>
            </w:r>
          </w:p>
        </w:tc>
        <w:tc>
          <w:tcPr>
            <w:tcW w:type="dxa" w:w="1872"/>
            <w:shd w:val="clear" w:color="auto" w:fill="FFFFFF"/>
            <w:tcMar>
              <w:top w:w="60" w:type="dxa"/>
              <w:bottom w:w="60" w:type="dxa"/>
              <w:left w:w="108" w:type="dxa"/>
              <w:right w:w="108" w:type="dxa"/>
            </w:tcMar>
          </w:tcPr>
          <w:p>
            <w:pPr>
              <w:jc w:val="left"/>
            </w:pPr>
            <w:r>
              <w:rPr>
                <w:rFonts w:ascii="Calibri" w:hAnsi="Calibri"/>
                <w:sz w:val="20"/>
              </w:rPr>
              <w:t>String</w:t>
            </w:r>
          </w:p>
        </w:tc>
        <w:tc>
          <w:tcPr>
            <w:tcW w:type="dxa" w:w="1872"/>
            <w:shd w:val="clear" w:color="auto" w:fill="FFFFFF"/>
            <w:tcMar>
              <w:top w:w="60" w:type="dxa"/>
              <w:bottom w:w="60" w:type="dxa"/>
              <w:left w:w="108" w:type="dxa"/>
              <w:right w:w="108" w:type="dxa"/>
            </w:tcMar>
          </w:tcPr>
          <w:p>
            <w:pPr>
              <w:jc w:val="left"/>
            </w:pPr>
            <w:r>
              <w:rPr>
                <w:rFonts w:ascii="Calibri" w:hAnsi="Calibri"/>
                <w:sz w:val="20"/>
              </w:rPr>
              <w:t>64</w:t>
            </w:r>
          </w:p>
        </w:tc>
        <w:tc>
          <w:tcPr>
            <w:tcW w:type="dxa" w:w="1872"/>
            <w:shd w:val="clear" w:color="auto" w:fill="FFFFFF"/>
            <w:tcMar>
              <w:top w:w="60" w:type="dxa"/>
              <w:bottom w:w="60" w:type="dxa"/>
              <w:left w:w="108" w:type="dxa"/>
              <w:right w:w="108" w:type="dxa"/>
            </w:tcMar>
          </w:tcPr>
          <w:p>
            <w:pPr>
              <w:jc w:val="left"/>
            </w:pPr>
            <w:r>
              <w:rPr>
                <w:rFonts w:ascii="Calibri" w:hAnsi="Calibri"/>
                <w:sz w:val="20"/>
              </w:rPr>
              <w:t>Virtual Payment Address of the payee/merchant</w:t>
            </w:r>
          </w:p>
        </w:tc>
        <w:tc>
          <w:tcPr>
            <w:tcW w:type="dxa" w:w="1872"/>
            <w:shd w:val="clear" w:color="auto" w:fill="FFFFFF"/>
            <w:tcMar>
              <w:top w:w="60" w:type="dxa"/>
              <w:bottom w:w="60" w:type="dxa"/>
              <w:left w:w="108" w:type="dxa"/>
              <w:right w:w="108" w:type="dxa"/>
            </w:tcMar>
          </w:tcPr>
          <w:p>
            <w:pPr>
              <w:jc w:val="left"/>
            </w:pPr>
            <w:r>
              <w:rPr>
                <w:rFonts w:ascii="Calibri" w:hAnsi="Calibri"/>
                <w:sz w:val="20"/>
              </w:rPr>
              <w:t>Y</w:t>
            </w:r>
          </w:p>
        </w:tc>
      </w:tr>
      <w:tr>
        <w:tc>
          <w:tcPr>
            <w:tcW w:type="dxa" w:w="1872"/>
            <w:shd w:val="clear" w:color="auto" w:fill="DBEAFE"/>
            <w:tcMar>
              <w:top w:w="60" w:type="dxa"/>
              <w:bottom w:w="60" w:type="dxa"/>
              <w:left w:w="108" w:type="dxa"/>
              <w:right w:w="108" w:type="dxa"/>
            </w:tcMar>
          </w:tcPr>
          <w:p>
            <w:pPr>
              <w:jc w:val="left"/>
            </w:pPr>
            <w:r>
              <w:rPr>
                <w:rFonts w:ascii="Calibri" w:hAnsi="Calibri"/>
                <w:sz w:val="20"/>
              </w:rPr>
              <w:t>maxSuggestions</w:t>
            </w:r>
          </w:p>
        </w:tc>
        <w:tc>
          <w:tcPr>
            <w:tcW w:type="dxa" w:w="1872"/>
            <w:shd w:val="clear" w:color="auto" w:fill="DBEAFE"/>
            <w:tcMar>
              <w:top w:w="60" w:type="dxa"/>
              <w:bottom w:w="60" w:type="dxa"/>
              <w:left w:w="108" w:type="dxa"/>
              <w:right w:w="108" w:type="dxa"/>
            </w:tcMar>
          </w:tcPr>
          <w:p>
            <w:pPr>
              <w:jc w:val="left"/>
            </w:pPr>
            <w:r>
              <w:rPr>
                <w:rFonts w:ascii="Calibri" w:hAnsi="Calibri"/>
                <w:sz w:val="20"/>
              </w:rPr>
              <w:t>Integer</w:t>
            </w:r>
          </w:p>
        </w:tc>
        <w:tc>
          <w:tcPr>
            <w:tcW w:type="dxa" w:w="1872"/>
            <w:shd w:val="clear" w:color="auto" w:fill="DBEAFE"/>
            <w:tcMar>
              <w:top w:w="60" w:type="dxa"/>
              <w:bottom w:w="60" w:type="dxa"/>
              <w:left w:w="108" w:type="dxa"/>
              <w:right w:w="108" w:type="dxa"/>
            </w:tcMar>
          </w:tcPr>
          <w:p>
            <w:pPr>
              <w:jc w:val="left"/>
            </w:pPr>
            <w:r>
              <w:rPr>
                <w:rFonts w:ascii="Calibri" w:hAnsi="Calibri"/>
                <w:sz w:val="20"/>
              </w:rPr>
              <w:t>2</w:t>
            </w:r>
          </w:p>
        </w:tc>
        <w:tc>
          <w:tcPr>
            <w:tcW w:type="dxa" w:w="1872"/>
            <w:shd w:val="clear" w:color="auto" w:fill="DBEAFE"/>
            <w:tcMar>
              <w:top w:w="60" w:type="dxa"/>
              <w:bottom w:w="60" w:type="dxa"/>
              <w:left w:w="108" w:type="dxa"/>
              <w:right w:w="108" w:type="dxa"/>
            </w:tcMar>
          </w:tcPr>
          <w:p>
            <w:pPr>
              <w:jc w:val="left"/>
            </w:pPr>
            <w:r>
              <w:rPr>
                <w:rFonts w:ascii="Calibri" w:hAnsi="Calibri"/>
                <w:sz w:val="20"/>
              </w:rPr>
              <w:t>Maximum number of amount suggestions to return (up to 3)</w:t>
            </w:r>
          </w:p>
        </w:tc>
        <w:tc>
          <w:tcPr>
            <w:tcW w:type="dxa" w:w="1872"/>
            <w:shd w:val="clear" w:color="auto" w:fill="DBEAFE"/>
            <w:tcMar>
              <w:top w:w="60" w:type="dxa"/>
              <w:bottom w:w="60" w:type="dxa"/>
              <w:left w:w="108" w:type="dxa"/>
              <w:right w:w="108" w:type="dxa"/>
            </w:tcMar>
          </w:tcPr>
          <w:p>
            <w:pPr>
              <w:jc w:val="left"/>
            </w:pPr>
            <w:r>
              <w:rPr>
                <w:rFonts w:ascii="Calibri" w:hAnsi="Calibri"/>
                <w:sz w:val="20"/>
              </w:rPr>
              <w:t>Y</w:t>
            </w:r>
          </w:p>
        </w:tc>
      </w:tr>
      <w:tr>
        <w:tc>
          <w:tcPr>
            <w:tcW w:type="dxa" w:w="1872"/>
            <w:shd w:val="clear" w:color="auto" w:fill="FFFFFF"/>
            <w:tcMar>
              <w:top w:w="60" w:type="dxa"/>
              <w:bottom w:w="60" w:type="dxa"/>
              <w:left w:w="108" w:type="dxa"/>
              <w:right w:w="108" w:type="dxa"/>
            </w:tcMar>
          </w:tcPr>
          <w:p>
            <w:pPr>
              <w:jc w:val="left"/>
            </w:pPr>
            <w:r>
              <w:rPr>
                <w:rFonts w:ascii="Calibri" w:hAnsi="Calibri"/>
                <w:sz w:val="20"/>
              </w:rPr>
              <w:t>suggested_amounts</w:t>
            </w:r>
          </w:p>
        </w:tc>
        <w:tc>
          <w:tcPr>
            <w:tcW w:type="dxa" w:w="1872"/>
            <w:shd w:val="clear" w:color="auto" w:fill="FFFFFF"/>
            <w:tcMar>
              <w:top w:w="60" w:type="dxa"/>
              <w:bottom w:w="60" w:type="dxa"/>
              <w:left w:w="108" w:type="dxa"/>
              <w:right w:w="108" w:type="dxa"/>
            </w:tcMar>
          </w:tcPr>
          <w:p>
            <w:pPr>
              <w:jc w:val="left"/>
            </w:pPr>
            <w:r>
              <w:rPr>
                <w:rFonts w:ascii="Calibri" w:hAnsi="Calibri"/>
                <w:sz w:val="20"/>
              </w:rPr>
              <w:t>Decimal</w:t>
            </w:r>
          </w:p>
        </w:tc>
        <w:tc>
          <w:tcPr>
            <w:tcW w:type="dxa" w:w="1872"/>
            <w:shd w:val="clear" w:color="auto" w:fill="FFFFFF"/>
            <w:tcMar>
              <w:top w:w="60" w:type="dxa"/>
              <w:bottom w:w="60" w:type="dxa"/>
              <w:left w:w="108" w:type="dxa"/>
              <w:right w:w="108" w:type="dxa"/>
            </w:tcMar>
          </w:tcPr>
          <w:p>
            <w:pPr>
              <w:jc w:val="left"/>
            </w:pPr>
            <w:r>
              <w:rPr>
                <w:rFonts w:ascii="Calibri" w:hAnsi="Calibri"/>
                <w:sz w:val="20"/>
              </w:rPr>
              <w:t>12</w:t>
            </w:r>
          </w:p>
        </w:tc>
        <w:tc>
          <w:tcPr>
            <w:tcW w:type="dxa" w:w="1872"/>
            <w:shd w:val="clear" w:color="auto" w:fill="FFFFFF"/>
            <w:tcMar>
              <w:top w:w="60" w:type="dxa"/>
              <w:bottom w:w="60" w:type="dxa"/>
              <w:left w:w="108" w:type="dxa"/>
              <w:right w:w="108" w:type="dxa"/>
            </w:tcMar>
          </w:tcPr>
          <w:p>
            <w:pPr>
              <w:jc w:val="left"/>
            </w:pPr>
            <w:r>
              <w:rPr>
                <w:rFonts w:ascii="Calibri" w:hAnsi="Calibri"/>
                <w:sz w:val="20"/>
              </w:rPr>
              <w:t>Array of up to three suggested payment amounts in INR</w:t>
            </w:r>
          </w:p>
        </w:tc>
        <w:tc>
          <w:tcPr>
            <w:tcW w:type="dxa" w:w="1872"/>
            <w:shd w:val="clear" w:color="auto" w:fill="FFFFFF"/>
            <w:tcMar>
              <w:top w:w="60" w:type="dxa"/>
              <w:bottom w:w="60" w:type="dxa"/>
              <w:left w:w="108" w:type="dxa"/>
              <w:right w:w="108" w:type="dxa"/>
            </w:tcMar>
          </w:tcPr>
          <w:p>
            <w:pPr>
              <w:jc w:val="left"/>
            </w:pPr>
            <w:r>
              <w:rPr>
                <w:rFonts w:ascii="Calibri" w:hAnsi="Calibri"/>
                <w:sz w:val="20"/>
              </w:rPr>
              <w:t>Y</w:t>
            </w:r>
          </w:p>
        </w:tc>
      </w:tr>
      <w:tr>
        <w:tc>
          <w:tcPr>
            <w:tcW w:type="dxa" w:w="1872"/>
            <w:shd w:val="clear" w:color="auto" w:fill="DBEAFE"/>
            <w:tcMar>
              <w:top w:w="60" w:type="dxa"/>
              <w:bottom w:w="60" w:type="dxa"/>
              <w:left w:w="108" w:type="dxa"/>
              <w:right w:w="108" w:type="dxa"/>
            </w:tcMar>
          </w:tcPr>
          <w:p>
            <w:pPr>
              <w:jc w:val="left"/>
            </w:pPr>
            <w:r>
              <w:rPr>
                <w:rFonts w:ascii="Calibri" w:hAnsi="Calibri"/>
                <w:sz w:val="20"/>
              </w:rPr>
              <w:t>confidence_score</w:t>
            </w:r>
          </w:p>
        </w:tc>
        <w:tc>
          <w:tcPr>
            <w:tcW w:type="dxa" w:w="1872"/>
            <w:shd w:val="clear" w:color="auto" w:fill="DBEAFE"/>
            <w:tcMar>
              <w:top w:w="60" w:type="dxa"/>
              <w:bottom w:w="60" w:type="dxa"/>
              <w:left w:w="108" w:type="dxa"/>
              <w:right w:w="108" w:type="dxa"/>
            </w:tcMar>
          </w:tcPr>
          <w:p>
            <w:pPr>
              <w:jc w:val="left"/>
            </w:pPr>
            <w:r>
              <w:rPr>
                <w:rFonts w:ascii="Calibri" w:hAnsi="Calibri"/>
                <w:sz w:val="20"/>
              </w:rPr>
              <w:t>Decimal</w:t>
            </w:r>
          </w:p>
        </w:tc>
        <w:tc>
          <w:tcPr>
            <w:tcW w:type="dxa" w:w="1872"/>
            <w:shd w:val="clear" w:color="auto" w:fill="DBEAFE"/>
            <w:tcMar>
              <w:top w:w="60" w:type="dxa"/>
              <w:bottom w:w="60" w:type="dxa"/>
              <w:left w:w="108" w:type="dxa"/>
              <w:right w:w="108" w:type="dxa"/>
            </w:tcMar>
          </w:tcPr>
          <w:p>
            <w:pPr>
              <w:jc w:val="left"/>
            </w:pPr>
            <w:r>
              <w:rPr>
                <w:rFonts w:ascii="Calibri" w:hAnsi="Calibri"/>
                <w:sz w:val="20"/>
              </w:rPr>
              <w:t>5</w:t>
            </w:r>
          </w:p>
        </w:tc>
        <w:tc>
          <w:tcPr>
            <w:tcW w:type="dxa" w:w="1872"/>
            <w:shd w:val="clear" w:color="auto" w:fill="DBEAFE"/>
            <w:tcMar>
              <w:top w:w="60" w:type="dxa"/>
              <w:bottom w:w="60" w:type="dxa"/>
              <w:left w:w="108" w:type="dxa"/>
              <w:right w:w="108" w:type="dxa"/>
            </w:tcMar>
          </w:tcPr>
          <w:p>
            <w:pPr>
              <w:jc w:val="left"/>
            </w:pPr>
            <w:r>
              <w:rPr>
                <w:rFonts w:ascii="Calibri" w:hAnsi="Calibri"/>
                <w:sz w:val="20"/>
              </w:rPr>
              <w:t>Optional confidence metric (0.0 – 1.0) indicating prediction reliability</w:t>
            </w:r>
          </w:p>
        </w:tc>
        <w:tc>
          <w:tcPr>
            <w:tcW w:type="dxa" w:w="1872"/>
            <w:shd w:val="clear" w:color="auto" w:fill="DBEAFE"/>
            <w:tcMar>
              <w:top w:w="60" w:type="dxa"/>
              <w:bottom w:w="60" w:type="dxa"/>
              <w:left w:w="108" w:type="dxa"/>
              <w:right w:w="108" w:type="dxa"/>
            </w:tcMar>
          </w:tcPr>
          <w:p>
            <w:pPr>
              <w:jc w:val="left"/>
            </w:pPr>
            <w:r>
              <w:rPr>
                <w:rFonts w:ascii="Calibri" w:hAnsi="Calibri"/>
                <w:sz w:val="20"/>
              </w:rPr>
              <w:t>N</w:t>
            </w:r>
          </w:p>
        </w:tc>
      </w:tr>
    </w:tbl>
    <w:p/>
    <w:p>
      <w:pPr>
        <w:spacing w:before="8" w:after="8"/>
        <w:shd w:val="clear" w:color="auto" w:fill="F2F2F2"/>
        <w:ind w:left="360"/>
      </w:pPr>
      <w:r>
        <w:rPr>
          <w:rFonts w:ascii="Courier New" w:hAnsi="Courier New"/>
          <w:color w:val="1F2D3D"/>
          <w:sz w:val="18"/>
        </w:rPr>
        <w:t>&lt;!-- Request: Payer PSP to NPCI --&gt;</w:t>
        <w:br/>
      </w:r>
      <w:r>
        <w:rPr>
          <w:rFonts w:ascii="Courier New" w:hAnsi="Courier New"/>
          <w:color w:val="1F2D3D"/>
          <w:sz w:val="18"/>
        </w:rPr>
        <w:t>&lt;ReqPay xmlns:upi="http://npci.org/upi/schema/"&gt;</w:t>
        <w:br/>
      </w:r>
      <w:r>
        <w:rPr>
          <w:rFonts w:ascii="Courier New" w:hAnsi="Courier New"/>
          <w:color w:val="1F2D3D"/>
          <w:sz w:val="18"/>
        </w:rPr>
        <w:t xml:space="preserve">  &lt;amount&gt;199&lt;/amount&gt;</w:t>
        <w:br/>
      </w:r>
      <w:r>
        <w:rPr>
          <w:rFonts w:ascii="Courier New" w:hAnsi="Courier New"/>
          <w:color w:val="1F2D3D"/>
          <w:sz w:val="18"/>
        </w:rPr>
        <w:t xml:space="preserve">  &lt;payerVPA&gt;alice@bank&lt;/payerVPA&gt;</w:t>
        <w:br/>
      </w:r>
      <w:r>
        <w:rPr>
          <w:rFonts w:ascii="Courier New" w:hAnsi="Courier New"/>
          <w:color w:val="1F2D3D"/>
          <w:sz w:val="18"/>
        </w:rPr>
        <w:t xml:space="preserve">  &lt;payeeVPA&gt;merchant@bank&lt;/payeeVPA&gt;</w:t>
        <w:br/>
      </w:r>
      <w:r>
        <w:rPr>
          <w:rFonts w:ascii="Courier New" w:hAnsi="Courier New"/>
          <w:color w:val="1F2D3D"/>
          <w:sz w:val="18"/>
        </w:rPr>
        <w:t xml:space="preserve">  &lt;purposeCode&gt;00&lt;/purposeCode&gt;</w:t>
        <w:br/>
      </w:r>
      <w:r>
        <w:rPr>
          <w:rFonts w:ascii="Courier New" w:hAnsi="Courier New"/>
          <w:color w:val="1F2D3D"/>
          <w:sz w:val="18"/>
        </w:rPr>
        <w:t>&lt;/ReqPay&gt;</w:t>
      </w:r>
    </w:p>
    <w:p>
      <w:pPr>
        <w:spacing w:before="8" w:after="8"/>
        <w:shd w:val="clear" w:color="auto" w:fill="F2F2F2"/>
        <w:ind w:left="360"/>
      </w:pPr>
      <w:r>
        <w:rPr>
          <w:rFonts w:ascii="Courier New" w:hAnsi="Courier New"/>
          <w:color w:val="1F2D3D"/>
          <w:sz w:val="18"/>
        </w:rPr>
        <w:t>&lt;!-- Response: NPCI to Payer PSP --&gt;</w:t>
        <w:br/>
      </w:r>
      <w:r>
        <w:rPr>
          <w:rFonts w:ascii="Courier New" w:hAnsi="Courier New"/>
          <w:color w:val="1F2D3D"/>
          <w:sz w:val="18"/>
        </w:rPr>
        <w:t>&lt;RespPay xmlns:upi="http://npci.org/upi/schema/"&gt;</w:t>
        <w:br/>
      </w:r>
      <w:r>
        <w:rPr>
          <w:rFonts w:ascii="Courier New" w:hAnsi="Courier New"/>
          <w:color w:val="1F2D3D"/>
          <w:sz w:val="18"/>
        </w:rPr>
        <w:t xml:space="preserve">  &lt;status&gt;SUCCESS&lt;/status&gt;</w:t>
        <w:br/>
      </w:r>
      <w:r>
        <w:rPr>
          <w:rFonts w:ascii="Courier New" w:hAnsi="Courier New"/>
          <w:color w:val="1F2D3D"/>
          <w:sz w:val="18"/>
        </w:rPr>
        <w:t xml:space="preserve">  &lt;txnId&gt;TXN123456789&lt;/txnId&gt;</w:t>
        <w:br/>
      </w:r>
      <w:r>
        <w:rPr>
          <w:rFonts w:ascii="Courier New" w:hAnsi="Courier New"/>
          <w:color w:val="1F2D3D"/>
          <w:sz w:val="18"/>
        </w:rPr>
        <w:t>&lt;/RespPay&gt;</w:t>
      </w:r>
    </w:p>
    <w:p>
      <w:pPr>
        <w:spacing w:before="8" w:after="8"/>
        <w:shd w:val="clear" w:color="auto" w:fill="F2F2F2"/>
        <w:ind w:left="360"/>
      </w:pPr>
      <w:r>
        <w:rPr>
          <w:rFonts w:ascii="Courier New" w:hAnsi="Courier New"/>
          <w:color w:val="1F2D3D"/>
          <w:sz w:val="18"/>
        </w:rPr>
        <w:t>&lt;!-- Request: NPCI to Payee PSP --&gt;</w:t>
        <w:br/>
      </w:r>
      <w:r>
        <w:rPr>
          <w:rFonts w:ascii="Courier New" w:hAnsi="Courier New"/>
          <w:color w:val="1F2D3D"/>
          <w:sz w:val="18"/>
        </w:rPr>
        <w:t>&lt;ReqAuthDetails xmlns:upi="http://npci.org/upi/schema/"&gt;</w:t>
        <w:br/>
      </w:r>
      <w:r>
        <w:rPr>
          <w:rFonts w:ascii="Courier New" w:hAnsi="Courier New"/>
          <w:color w:val="1F2D3D"/>
          <w:sz w:val="18"/>
        </w:rPr>
        <w:t xml:space="preserve">  &lt;txnId&gt;TXN123456789&lt;/txnId&gt;</w:t>
        <w:br/>
      </w:r>
      <w:r>
        <w:rPr>
          <w:rFonts w:ascii="Courier New" w:hAnsi="Courier New"/>
          <w:color w:val="1F2D3D"/>
          <w:sz w:val="18"/>
        </w:rPr>
        <w:t xml:space="preserve">  &lt;payeeVPA&gt;merchant@bank&lt;/payeeVPA&gt;</w:t>
        <w:br/>
      </w:r>
      <w:r>
        <w:rPr>
          <w:rFonts w:ascii="Courier New" w:hAnsi="Courier New"/>
          <w:color w:val="1F2D3D"/>
          <w:sz w:val="18"/>
        </w:rPr>
        <w:t>&lt;/ReqAuthDetails&gt;</w:t>
      </w:r>
    </w:p>
    <w:p>
      <w:pPr>
        <w:spacing w:before="8" w:after="8"/>
        <w:shd w:val="clear" w:color="auto" w:fill="F2F2F2"/>
        <w:ind w:left="360"/>
      </w:pPr>
      <w:r>
        <w:rPr>
          <w:rFonts w:ascii="Courier New" w:hAnsi="Courier New"/>
          <w:color w:val="1F2D3D"/>
          <w:sz w:val="18"/>
        </w:rPr>
        <w:t>&lt;!-- Response: Payee PSP to NPCI --&gt;</w:t>
        <w:br/>
      </w:r>
      <w:r>
        <w:rPr>
          <w:rFonts w:ascii="Courier New" w:hAnsi="Courier New"/>
          <w:color w:val="1F2D3D"/>
          <w:sz w:val="18"/>
        </w:rPr>
        <w:t>&lt;RespAuthDetails xmlns:upi="http://npci.org/upi/schema/"&gt;</w:t>
        <w:br/>
      </w:r>
      <w:r>
        <w:rPr>
          <w:rFonts w:ascii="Courier New" w:hAnsi="Courier New"/>
          <w:color w:val="1F2D3D"/>
          <w:sz w:val="18"/>
        </w:rPr>
        <w:t xml:space="preserve">  &lt;authStatus&gt;APPROVED&lt;/authStatus&gt;</w:t>
        <w:br/>
      </w:r>
      <w:r>
        <w:rPr>
          <w:rFonts w:ascii="Courier New" w:hAnsi="Courier New"/>
          <w:color w:val="1F2D3D"/>
          <w:sz w:val="18"/>
        </w:rPr>
        <w:t>&lt;/RespAuthDetails&gt;</w:t>
      </w:r>
    </w:p>
    <w:p>
      <w:pPr>
        <w:spacing w:before="8" w:after="8"/>
        <w:shd w:val="clear" w:color="auto" w:fill="F2F2F2"/>
        <w:ind w:left="360"/>
      </w:pPr>
      <w:r>
        <w:rPr>
          <w:rFonts w:ascii="Courier New" w:hAnsi="Courier New"/>
          <w:color w:val="1F2D3D"/>
          <w:sz w:val="18"/>
        </w:rPr>
        <w:t>&lt;!-- Request: Payer PSP to NPCI (Confirmation) --&gt;</w:t>
        <w:br/>
      </w:r>
      <w:r>
        <w:rPr>
          <w:rFonts w:ascii="Courier New" w:hAnsi="Courier New"/>
          <w:color w:val="1F2D3D"/>
          <w:sz w:val="18"/>
        </w:rPr>
        <w:t>&lt;ReqTxnConfirmation xmlns:upi="http://npci.org/upi/schema/"&gt;</w:t>
        <w:br/>
      </w:r>
      <w:r>
        <w:rPr>
          <w:rFonts w:ascii="Courier New" w:hAnsi="Courier New"/>
          <w:color w:val="1F2D3D"/>
          <w:sz w:val="18"/>
        </w:rPr>
        <w:t xml:space="preserve">  &lt;txnId&gt;TXN123456789&lt;/txnId&gt;</w:t>
        <w:br/>
      </w:r>
      <w:r>
        <w:rPr>
          <w:rFonts w:ascii="Courier New" w:hAnsi="Courier New"/>
          <w:color w:val="1F2D3D"/>
          <w:sz w:val="18"/>
        </w:rPr>
        <w:t xml:space="preserve">  &lt;authCode&gt;123456&lt;/authCode&gt;</w:t>
        <w:br/>
      </w:r>
      <w:r>
        <w:rPr>
          <w:rFonts w:ascii="Courier New" w:hAnsi="Courier New"/>
          <w:color w:val="1F2D3D"/>
          <w:sz w:val="18"/>
        </w:rPr>
        <w:t>&lt;/ReqTxnConfirmation&gt;</w:t>
      </w:r>
    </w:p>
    <w:p>
      <w:pPr>
        <w:spacing w:before="8" w:after="8"/>
        <w:shd w:val="clear" w:color="auto" w:fill="F2F2F2"/>
        <w:ind w:left="360"/>
      </w:pPr>
      <w:r>
        <w:rPr>
          <w:rFonts w:ascii="Courier New" w:hAnsi="Courier New"/>
          <w:color w:val="1F2D3D"/>
          <w:sz w:val="18"/>
        </w:rPr>
        <w:t>&lt;!-- Response: NPCI to Payer PSP (Confirmation) --&gt;</w:t>
        <w:br/>
      </w:r>
      <w:r>
        <w:rPr>
          <w:rFonts w:ascii="Courier New" w:hAnsi="Courier New"/>
          <w:color w:val="1F2D3D"/>
          <w:sz w:val="18"/>
        </w:rPr>
        <w:t>&lt;RespTxnConfirmation xmlns:upi="http://npci.org/upi/schema/"&gt;</w:t>
        <w:br/>
      </w:r>
      <w:r>
        <w:rPr>
          <w:rFonts w:ascii="Courier New" w:hAnsi="Courier New"/>
          <w:color w:val="1F2D3D"/>
          <w:sz w:val="18"/>
        </w:rPr>
        <w:t xml:space="preserve">  &lt;status&gt;COMPLETED&lt;/status&gt;</w:t>
        <w:br/>
      </w:r>
      <w:r>
        <w:rPr>
          <w:rFonts w:ascii="Courier New" w:hAnsi="Courier New"/>
          <w:color w:val="1F2D3D"/>
          <w:sz w:val="18"/>
        </w:rPr>
        <w:t>&lt;/RespTxnConfirmation&gt;</w:t>
      </w:r>
    </w:p>
    <w:p>
      <w:pPr>
        <w:spacing w:before="8" w:after="8"/>
        <w:shd w:val="clear" w:color="auto" w:fill="F2F2F2"/>
        <w:ind w:left="360"/>
      </w:pPr>
      <w:r>
        <w:rPr>
          <w:rFonts w:ascii="Courier New" w:hAnsi="Courier New"/>
          <w:color w:val="1F2D3D"/>
          <w:sz w:val="18"/>
        </w:rPr>
        <w:t>&lt;!-- Request: NPCI to Debit Engine --&gt;</w:t>
        <w:br/>
      </w:r>
      <w:r>
        <w:rPr>
          <w:rFonts w:ascii="Courier New" w:hAnsi="Courier New"/>
          <w:color w:val="1F2D3D"/>
          <w:sz w:val="18"/>
        </w:rPr>
        <w:t>&lt;ReqDebit xmlns:upi="http://npci.org/upi/schema/"&gt;</w:t>
        <w:br/>
      </w:r>
      <w:r>
        <w:rPr>
          <w:rFonts w:ascii="Courier New" w:hAnsi="Courier New"/>
          <w:color w:val="1F2D3D"/>
          <w:sz w:val="18"/>
        </w:rPr>
        <w:t xml:space="preserve">  &lt;txnId&gt;TXN123456789&lt;/txnId&gt;</w:t>
        <w:br/>
      </w:r>
      <w:r>
        <w:rPr>
          <w:rFonts w:ascii="Courier New" w:hAnsi="Courier New"/>
          <w:color w:val="1F2D3D"/>
          <w:sz w:val="18"/>
        </w:rPr>
        <w:t xml:space="preserve">  &lt;amount&gt;199&lt;/amount&gt;</w:t>
        <w:br/>
      </w:r>
      <w:r>
        <w:rPr>
          <w:rFonts w:ascii="Courier New" w:hAnsi="Courier New"/>
          <w:color w:val="1F2D3D"/>
          <w:sz w:val="18"/>
        </w:rPr>
        <w:t xml:space="preserve">  &lt;payerVPA&gt;alice@bank&lt;/payerVPA&gt;</w:t>
        <w:br/>
      </w:r>
      <w:r>
        <w:rPr>
          <w:rFonts w:ascii="Courier New" w:hAnsi="Courier New"/>
          <w:color w:val="1F2D3D"/>
          <w:sz w:val="18"/>
        </w:rPr>
        <w:t>&lt;/ReqDebit&gt;</w:t>
      </w:r>
    </w:p>
    <w:p>
      <w:pPr>
        <w:spacing w:before="8" w:after="8"/>
        <w:shd w:val="clear" w:color="auto" w:fill="F2F2F2"/>
        <w:ind w:left="360"/>
      </w:pPr>
      <w:r>
        <w:rPr>
          <w:rFonts w:ascii="Courier New" w:hAnsi="Courier New"/>
          <w:color w:val="1F2D3D"/>
          <w:sz w:val="18"/>
        </w:rPr>
        <w:t>&lt;!-- Response: Debit Engine to NPCI --&gt;</w:t>
        <w:br/>
      </w:r>
      <w:r>
        <w:rPr>
          <w:rFonts w:ascii="Courier New" w:hAnsi="Courier New"/>
          <w:color w:val="1F2D3D"/>
          <w:sz w:val="18"/>
        </w:rPr>
        <w:t>&lt;RespDebit xmlns:upi="http://npci.org/upi/schema/"&gt;</w:t>
        <w:br/>
      </w:r>
      <w:r>
        <w:rPr>
          <w:rFonts w:ascii="Courier New" w:hAnsi="Courier New"/>
          <w:color w:val="1F2D3D"/>
          <w:sz w:val="18"/>
        </w:rPr>
        <w:t xml:space="preserve">  &lt;debitStatus&gt;SUCCESS&lt;/debitStatus&gt;</w:t>
        <w:br/>
      </w:r>
      <w:r>
        <w:rPr>
          <w:rFonts w:ascii="Courier New" w:hAnsi="Courier New"/>
          <w:color w:val="1F2D3D"/>
          <w:sz w:val="18"/>
        </w:rPr>
        <w:t>&lt;/RespDebit&gt;</w:t>
      </w:r>
    </w:p>
    <w:p>
      <w:pPr>
        <w:spacing w:before="8" w:after="8"/>
        <w:shd w:val="clear" w:color="auto" w:fill="F2F2F2"/>
        <w:ind w:left="360"/>
      </w:pPr>
      <w:r>
        <w:rPr>
          <w:rFonts w:ascii="Courier New" w:hAnsi="Courier New"/>
          <w:color w:val="1F2D3D"/>
          <w:sz w:val="18"/>
        </w:rPr>
        <w:t>&lt;!-- Request: GetAmountSuggestions (JSON) --&gt;</w:t>
        <w:br/>
      </w:r>
      <w:r>
        <w:rPr>
          <w:rFonts w:ascii="Courier New" w:hAnsi="Courier New"/>
          <w:color w:val="1F2D3D"/>
          <w:sz w:val="18"/>
        </w:rPr>
        <w:t>{</w:t>
        <w:br/>
      </w:r>
      <w:r>
        <w:rPr>
          <w:rFonts w:ascii="Courier New" w:hAnsi="Courier New"/>
          <w:color w:val="1F2D3D"/>
          <w:sz w:val="18"/>
        </w:rPr>
        <w:t xml:space="preserve">  "payerVPA": "alice@bank",</w:t>
        <w:br/>
      </w:r>
      <w:r>
        <w:rPr>
          <w:rFonts w:ascii="Courier New" w:hAnsi="Courier New"/>
          <w:color w:val="1F2D3D"/>
          <w:sz w:val="18"/>
        </w:rPr>
        <w:t xml:space="preserve">  "payeeVPA": "merchant@bank",</w:t>
        <w:br/>
      </w:r>
      <w:r>
        <w:rPr>
          <w:rFonts w:ascii="Courier New" w:hAnsi="Courier New"/>
          <w:color w:val="1F2D3D"/>
          <w:sz w:val="18"/>
        </w:rPr>
        <w:t xml:space="preserve">  "maxSuggestions": 3</w:t>
        <w:br/>
      </w:r>
      <w:r>
        <w:rPr>
          <w:rFonts w:ascii="Courier New" w:hAnsi="Courier New"/>
          <w:color w:val="1F2D3D"/>
          <w:sz w:val="18"/>
        </w:rPr>
        <w:t>}</w:t>
      </w:r>
    </w:p>
    <w:p>
      <w:pPr>
        <w:spacing w:before="8" w:after="8"/>
        <w:shd w:val="clear" w:color="auto" w:fill="F2F2F2"/>
        <w:ind w:left="360"/>
      </w:pPr>
      <w:r>
        <w:rPr>
          <w:rFonts w:ascii="Courier New" w:hAnsi="Courier New"/>
          <w:color w:val="1F2D3D"/>
          <w:sz w:val="18"/>
        </w:rPr>
        <w:t>&lt;!-- Response: GetAmountSuggestions (JSON) --&gt;</w:t>
        <w:br/>
      </w:r>
      <w:r>
        <w:rPr>
          <w:rFonts w:ascii="Courier New" w:hAnsi="Courier New"/>
          <w:color w:val="1F2D3D"/>
          <w:sz w:val="18"/>
        </w:rPr>
        <w:t>{</w:t>
        <w:br/>
      </w:r>
      <w:r>
        <w:rPr>
          <w:rFonts w:ascii="Courier New" w:hAnsi="Courier New"/>
          <w:color w:val="1F2D3D"/>
          <w:sz w:val="18"/>
        </w:rPr>
        <w:t xml:space="preserve">  "suggested_amounts": [199, 299, 499],</w:t>
        <w:br/>
      </w:r>
      <w:r>
        <w:rPr>
          <w:rFonts w:ascii="Courier New" w:hAnsi="Courier New"/>
          <w:color w:val="1F2D3D"/>
          <w:sz w:val="18"/>
        </w:rPr>
        <w:t xml:space="preserve">  "confidence_score": 0.92</w:t>
        <w:br/>
      </w:r>
      <w:r>
        <w:rPr>
          <w:rFonts w:ascii="Courier New" w:hAnsi="Courier New"/>
          <w:color w:val="1F2D3D"/>
          <w:sz w:val="18"/>
        </w:rPr>
        <w:t>}</w:t>
      </w:r>
    </w:p>
    <w:p>
      <w:pPr>
        <w:pStyle w:val="Heading2"/>
        <w:spacing w:before="12" w:after="6"/>
      </w:pPr>
      <w:r>
        <w:t>ii. Secondary API Specifications</w:t>
      </w:r>
    </w:p>
    <w:p>
      <w:pPr>
        <w:spacing w:before="0" w:after="8"/>
      </w:pPr>
      <w:r>
        <w:rPr>
          <w:rFonts w:ascii="Calibri" w:hAnsi="Calibri"/>
          <w:color w:val="0A0A0A"/>
          <w:sz w:val="22"/>
        </w:rPr>
        <w:t>The Smart Amount Suggestion for Payments introduces a supporting API named GetAmountSuggestions. This API enables the payer’s UPI app to request up to three historically frequent payment amounts for a specific merchant before the payment initiation flow begins. The request originates from the Payer PSP, is processed by the NPCI switch, and the response contains the suggested amounts along with an optional confidence score that reflects the algorithmic relevance.</w:t>
      </w:r>
    </w:p>
    <w:p>
      <w:pPr>
        <w:spacing w:before="0" w:after="8"/>
      </w:pPr>
      <w:r>
        <w:rPr>
          <w:rFonts w:ascii="Calibri" w:hAnsi="Calibri"/>
          <w:color w:val="0A0A0A"/>
          <w:sz w:val="22"/>
        </w:rPr>
        <w:t>GetAmountSuggestions operates as a pre‑payment enrichment step and does not alter the core payment flow defined by ReqPay, ReqAuthDetails, ReqTxnConfirmation, and ReqDebit. The suggested amounts are subject to the existing per‑transaction limits of INR 15,000 for standard UPI and INR 500 for UPI‑Lite, and daily aggregate limits remain unchanged. The UI presents the suggestions for one‑tap selection, after which the standard payment flow proceeds with the chosen amount.</w:t>
      </w:r>
    </w:p>
    <w:p>
      <w:pPr>
        <w:pStyle w:val="ListBullet"/>
        <w:spacing w:before="0" w:after="4"/>
      </w:pPr>
      <w:r>
        <w:rPr>
          <w:rFonts w:ascii="Calibri" w:hAnsi="Calibri"/>
          <w:sz w:val="22"/>
        </w:rPr>
        <w:t>Pre-Check: Validate payerVPA and payeeVPA format – Payer PSP</w:t>
      </w:r>
    </w:p>
    <w:p>
      <w:pPr>
        <w:pStyle w:val="ListBullet"/>
        <w:spacing w:before="0" w:after="4"/>
      </w:pPr>
      <w:r>
        <w:rPr>
          <w:rFonts w:ascii="Calibri" w:hAnsi="Calibri"/>
          <w:sz w:val="22"/>
        </w:rPr>
        <w:t>Step 1: Payer PSP sends GetAmountSuggestions request to NPCI</w:t>
      </w:r>
    </w:p>
    <w:p>
      <w:pPr>
        <w:pStyle w:val="ListBullet"/>
        <w:spacing w:before="0" w:after="4"/>
      </w:pPr>
      <w:r>
        <w:rPr>
          <w:rFonts w:ascii="Calibri" w:hAnsi="Calibri"/>
          <w:sz w:val="22"/>
        </w:rPr>
        <w:t>Step 2: NPCI retrieves historical transaction data, applies suggestion algorithm, and constructs response</w:t>
      </w:r>
    </w:p>
    <w:p>
      <w:pPr>
        <w:pStyle w:val="ListBullet"/>
        <w:spacing w:before="0" w:after="4"/>
      </w:pPr>
      <w:r>
        <w:rPr>
          <w:rFonts w:ascii="Calibri" w:hAnsi="Calibri"/>
          <w:sz w:val="22"/>
        </w:rPr>
        <w:t>Step 3: NPCI returns GetAmountSuggestions response to Payer PSP</w:t>
      </w:r>
    </w:p>
    <w:p>
      <w:pPr>
        <w:pStyle w:val="ListBullet"/>
        <w:spacing w:before="0" w:after="4"/>
      </w:pPr>
      <w:r>
        <w:rPr>
          <w:rFonts w:ascii="Calibri" w:hAnsi="Calibri"/>
          <w:sz w:val="22"/>
        </w:rPr>
        <w:t>Post Response: Payer PSP renders up to three suggested amounts in the payment UI</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val="clear" w:color="auto" w:fill="1D4ED8"/>
            <w:tcMar>
              <w:top w:w="60" w:type="dxa"/>
              <w:bottom w:w="60" w:type="dxa"/>
              <w:left w:w="108" w:type="dxa"/>
              <w:right w:w="108" w:type="dxa"/>
            </w:tcMar>
          </w:tcPr>
          <w:p>
            <w:pPr>
              <w:jc w:val="center"/>
            </w:pPr>
            <w:r>
              <w:rPr>
                <w:rFonts w:ascii="Calibri" w:hAnsi="Calibri"/>
                <w:b/>
                <w:color w:val="FFFFFF"/>
                <w:sz w:val="20"/>
              </w:rPr>
              <w:t>Field Name</w:t>
            </w:r>
          </w:p>
        </w:tc>
        <w:tc>
          <w:tcPr>
            <w:tcW w:type="dxa" w:w="1872"/>
            <w:shd w:val="clear" w:color="auto" w:fill="1D4ED8"/>
            <w:tcMar>
              <w:top w:w="60" w:type="dxa"/>
              <w:bottom w:w="60" w:type="dxa"/>
              <w:left w:w="108" w:type="dxa"/>
              <w:right w:w="108" w:type="dxa"/>
            </w:tcMar>
          </w:tcPr>
          <w:p>
            <w:pPr>
              <w:jc w:val="center"/>
            </w:pPr>
            <w:r>
              <w:rPr>
                <w:rFonts w:ascii="Calibri" w:hAnsi="Calibri"/>
                <w:b/>
                <w:color w:val="FFFFFF"/>
                <w:sz w:val="20"/>
              </w:rPr>
              <w:t>dType</w:t>
            </w:r>
          </w:p>
        </w:tc>
        <w:tc>
          <w:tcPr>
            <w:tcW w:type="dxa" w:w="1872"/>
            <w:shd w:val="clear" w:color="auto" w:fill="1D4ED8"/>
            <w:tcMar>
              <w:top w:w="60" w:type="dxa"/>
              <w:bottom w:w="60" w:type="dxa"/>
              <w:left w:w="108" w:type="dxa"/>
              <w:right w:w="108" w:type="dxa"/>
            </w:tcMar>
          </w:tcPr>
          <w:p>
            <w:pPr>
              <w:jc w:val="center"/>
            </w:pPr>
            <w:r>
              <w:rPr>
                <w:rFonts w:ascii="Calibri" w:hAnsi="Calibri"/>
                <w:b/>
                <w:color w:val="FFFFFF"/>
                <w:sz w:val="20"/>
              </w:rPr>
              <w:t>dLength</w:t>
            </w:r>
          </w:p>
        </w:tc>
        <w:tc>
          <w:tcPr>
            <w:tcW w:type="dxa" w:w="1872"/>
            <w:shd w:val="clear" w:color="auto" w:fill="1D4ED8"/>
            <w:tcMar>
              <w:top w:w="60" w:type="dxa"/>
              <w:bottom w:w="60" w:type="dxa"/>
              <w:left w:w="108" w:type="dxa"/>
              <w:right w:w="108" w:type="dxa"/>
            </w:tcMar>
          </w:tcPr>
          <w:p>
            <w:pPr>
              <w:jc w:val="center"/>
            </w:pPr>
            <w:r>
              <w:rPr>
                <w:rFonts w:ascii="Calibri" w:hAnsi="Calibri"/>
                <w:b/>
                <w:color w:val="FFFFFF"/>
                <w:sz w:val="20"/>
              </w:rPr>
              <w:t>Description</w:t>
            </w:r>
          </w:p>
        </w:tc>
        <w:tc>
          <w:tcPr>
            <w:tcW w:type="dxa" w:w="1872"/>
            <w:shd w:val="clear" w:color="auto" w:fill="1D4ED8"/>
            <w:tcMar>
              <w:top w:w="60" w:type="dxa"/>
              <w:bottom w:w="60" w:type="dxa"/>
              <w:left w:w="108" w:type="dxa"/>
              <w:right w:w="108" w:type="dxa"/>
            </w:tcMar>
          </w:tcPr>
          <w:p>
            <w:pPr>
              <w:jc w:val="center"/>
            </w:pPr>
            <w:r>
              <w:rPr>
                <w:rFonts w:ascii="Calibri" w:hAnsi="Calibri"/>
                <w:b/>
                <w:color w:val="FFFFFF"/>
                <w:sz w:val="20"/>
              </w:rPr>
              <w:t>Mandatory (Y/N)</w:t>
            </w:r>
          </w:p>
        </w:tc>
      </w:tr>
      <w:tr>
        <w:tc>
          <w:tcPr>
            <w:tcW w:type="dxa" w:w="1872"/>
            <w:shd w:val="clear" w:color="auto" w:fill="DBEAFE"/>
            <w:tcMar>
              <w:top w:w="60" w:type="dxa"/>
              <w:bottom w:w="60" w:type="dxa"/>
              <w:left w:w="108" w:type="dxa"/>
              <w:right w:w="108" w:type="dxa"/>
            </w:tcMar>
          </w:tcPr>
          <w:p>
            <w:pPr>
              <w:jc w:val="left"/>
            </w:pPr>
            <w:r>
              <w:rPr>
                <w:rFonts w:ascii="Calibri" w:hAnsi="Calibri"/>
                <w:sz w:val="20"/>
              </w:rPr>
              <w:t>payerVPA</w:t>
            </w:r>
          </w:p>
        </w:tc>
        <w:tc>
          <w:tcPr>
            <w:tcW w:type="dxa" w:w="1872"/>
            <w:shd w:val="clear" w:color="auto" w:fill="DBEAFE"/>
            <w:tcMar>
              <w:top w:w="60" w:type="dxa"/>
              <w:bottom w:w="60" w:type="dxa"/>
              <w:left w:w="108" w:type="dxa"/>
              <w:right w:w="108" w:type="dxa"/>
            </w:tcMar>
          </w:tcPr>
          <w:p>
            <w:pPr>
              <w:jc w:val="left"/>
            </w:pPr>
            <w:r>
              <w:rPr>
                <w:rFonts w:ascii="Calibri" w:hAnsi="Calibri"/>
                <w:sz w:val="20"/>
              </w:rPr>
              <w:t>String</w:t>
            </w:r>
          </w:p>
        </w:tc>
        <w:tc>
          <w:tcPr>
            <w:tcW w:type="dxa" w:w="1872"/>
            <w:shd w:val="clear" w:color="auto" w:fill="DBEAFE"/>
            <w:tcMar>
              <w:top w:w="60" w:type="dxa"/>
              <w:bottom w:w="60" w:type="dxa"/>
              <w:left w:w="108" w:type="dxa"/>
              <w:right w:w="108" w:type="dxa"/>
            </w:tcMar>
          </w:tcPr>
          <w:p>
            <w:pPr>
              <w:jc w:val="left"/>
            </w:pPr>
            <w:r>
              <w:rPr>
                <w:rFonts w:ascii="Calibri" w:hAnsi="Calibri"/>
                <w:sz w:val="20"/>
              </w:rPr>
              <w:t>50</w:t>
            </w:r>
          </w:p>
        </w:tc>
        <w:tc>
          <w:tcPr>
            <w:tcW w:type="dxa" w:w="1872"/>
            <w:shd w:val="clear" w:color="auto" w:fill="DBEAFE"/>
            <w:tcMar>
              <w:top w:w="60" w:type="dxa"/>
              <w:bottom w:w="60" w:type="dxa"/>
              <w:left w:w="108" w:type="dxa"/>
              <w:right w:w="108" w:type="dxa"/>
            </w:tcMar>
          </w:tcPr>
          <w:p>
            <w:pPr>
              <w:jc w:val="left"/>
            </w:pPr>
            <w:r>
              <w:rPr>
                <w:rFonts w:ascii="Calibri" w:hAnsi="Calibri"/>
                <w:sz w:val="20"/>
              </w:rPr>
              <w:t>Virtual Payment Address of the payer</w:t>
            </w:r>
          </w:p>
        </w:tc>
        <w:tc>
          <w:tcPr>
            <w:tcW w:type="dxa" w:w="1872"/>
            <w:shd w:val="clear" w:color="auto" w:fill="DBEAFE"/>
            <w:tcMar>
              <w:top w:w="60" w:type="dxa"/>
              <w:bottom w:w="60" w:type="dxa"/>
              <w:left w:w="108" w:type="dxa"/>
              <w:right w:w="108" w:type="dxa"/>
            </w:tcMar>
          </w:tcPr>
          <w:p>
            <w:pPr>
              <w:jc w:val="left"/>
            </w:pPr>
            <w:r>
              <w:rPr>
                <w:rFonts w:ascii="Calibri" w:hAnsi="Calibri"/>
                <w:sz w:val="20"/>
              </w:rPr>
              <w:t>Y</w:t>
            </w:r>
          </w:p>
        </w:tc>
      </w:tr>
      <w:tr>
        <w:tc>
          <w:tcPr>
            <w:tcW w:type="dxa" w:w="1872"/>
            <w:shd w:val="clear" w:color="auto" w:fill="FFFFFF"/>
            <w:tcMar>
              <w:top w:w="60" w:type="dxa"/>
              <w:bottom w:w="60" w:type="dxa"/>
              <w:left w:w="108" w:type="dxa"/>
              <w:right w:w="108" w:type="dxa"/>
            </w:tcMar>
          </w:tcPr>
          <w:p>
            <w:pPr>
              <w:jc w:val="left"/>
            </w:pPr>
            <w:r>
              <w:rPr>
                <w:rFonts w:ascii="Calibri" w:hAnsi="Calibri"/>
                <w:sz w:val="20"/>
              </w:rPr>
              <w:t>payeeVPA</w:t>
            </w:r>
          </w:p>
        </w:tc>
        <w:tc>
          <w:tcPr>
            <w:tcW w:type="dxa" w:w="1872"/>
            <w:shd w:val="clear" w:color="auto" w:fill="FFFFFF"/>
            <w:tcMar>
              <w:top w:w="60" w:type="dxa"/>
              <w:bottom w:w="60" w:type="dxa"/>
              <w:left w:w="108" w:type="dxa"/>
              <w:right w:w="108" w:type="dxa"/>
            </w:tcMar>
          </w:tcPr>
          <w:p>
            <w:pPr>
              <w:jc w:val="left"/>
            </w:pPr>
            <w:r>
              <w:rPr>
                <w:rFonts w:ascii="Calibri" w:hAnsi="Calibri"/>
                <w:sz w:val="20"/>
              </w:rPr>
              <w:t>String</w:t>
            </w:r>
          </w:p>
        </w:tc>
        <w:tc>
          <w:tcPr>
            <w:tcW w:type="dxa" w:w="1872"/>
            <w:shd w:val="clear" w:color="auto" w:fill="FFFFFF"/>
            <w:tcMar>
              <w:top w:w="60" w:type="dxa"/>
              <w:bottom w:w="60" w:type="dxa"/>
              <w:left w:w="108" w:type="dxa"/>
              <w:right w:w="108" w:type="dxa"/>
            </w:tcMar>
          </w:tcPr>
          <w:p>
            <w:pPr>
              <w:jc w:val="left"/>
            </w:pPr>
            <w:r>
              <w:rPr>
                <w:rFonts w:ascii="Calibri" w:hAnsi="Calibri"/>
                <w:sz w:val="20"/>
              </w:rPr>
              <w:t>50</w:t>
            </w:r>
          </w:p>
        </w:tc>
        <w:tc>
          <w:tcPr>
            <w:tcW w:type="dxa" w:w="1872"/>
            <w:shd w:val="clear" w:color="auto" w:fill="FFFFFF"/>
            <w:tcMar>
              <w:top w:w="60" w:type="dxa"/>
              <w:bottom w:w="60" w:type="dxa"/>
              <w:left w:w="108" w:type="dxa"/>
              <w:right w:w="108" w:type="dxa"/>
            </w:tcMar>
          </w:tcPr>
          <w:p>
            <w:pPr>
              <w:jc w:val="left"/>
            </w:pPr>
            <w:r>
              <w:rPr>
                <w:rFonts w:ascii="Calibri" w:hAnsi="Calibri"/>
                <w:sz w:val="20"/>
              </w:rPr>
              <w:t>Virtual Payment Address of the merchant/payee</w:t>
            </w:r>
          </w:p>
        </w:tc>
        <w:tc>
          <w:tcPr>
            <w:tcW w:type="dxa" w:w="1872"/>
            <w:shd w:val="clear" w:color="auto" w:fill="FFFFFF"/>
            <w:tcMar>
              <w:top w:w="60" w:type="dxa"/>
              <w:bottom w:w="60" w:type="dxa"/>
              <w:left w:w="108" w:type="dxa"/>
              <w:right w:w="108" w:type="dxa"/>
            </w:tcMar>
          </w:tcPr>
          <w:p>
            <w:pPr>
              <w:jc w:val="left"/>
            </w:pPr>
            <w:r>
              <w:rPr>
                <w:rFonts w:ascii="Calibri" w:hAnsi="Calibri"/>
                <w:sz w:val="20"/>
              </w:rPr>
              <w:t>Y</w:t>
            </w:r>
          </w:p>
        </w:tc>
      </w:tr>
      <w:tr>
        <w:tc>
          <w:tcPr>
            <w:tcW w:type="dxa" w:w="1872"/>
            <w:shd w:val="clear" w:color="auto" w:fill="DBEAFE"/>
            <w:tcMar>
              <w:top w:w="60" w:type="dxa"/>
              <w:bottom w:w="60" w:type="dxa"/>
              <w:left w:w="108" w:type="dxa"/>
              <w:right w:w="108" w:type="dxa"/>
            </w:tcMar>
          </w:tcPr>
          <w:p>
            <w:pPr>
              <w:jc w:val="left"/>
            </w:pPr>
            <w:r>
              <w:rPr>
                <w:rFonts w:ascii="Calibri" w:hAnsi="Calibri"/>
                <w:sz w:val="20"/>
              </w:rPr>
              <w:t>maxSuggestions</w:t>
            </w:r>
          </w:p>
        </w:tc>
        <w:tc>
          <w:tcPr>
            <w:tcW w:type="dxa" w:w="1872"/>
            <w:shd w:val="clear" w:color="auto" w:fill="DBEAFE"/>
            <w:tcMar>
              <w:top w:w="60" w:type="dxa"/>
              <w:bottom w:w="60" w:type="dxa"/>
              <w:left w:w="108" w:type="dxa"/>
              <w:right w:w="108" w:type="dxa"/>
            </w:tcMar>
          </w:tcPr>
          <w:p>
            <w:pPr>
              <w:jc w:val="left"/>
            </w:pPr>
            <w:r>
              <w:rPr>
                <w:rFonts w:ascii="Calibri" w:hAnsi="Calibri"/>
                <w:sz w:val="20"/>
              </w:rPr>
              <w:t>Integer</w:t>
            </w:r>
          </w:p>
        </w:tc>
        <w:tc>
          <w:tcPr>
            <w:tcW w:type="dxa" w:w="1872"/>
            <w:shd w:val="clear" w:color="auto" w:fill="DBEAFE"/>
            <w:tcMar>
              <w:top w:w="60" w:type="dxa"/>
              <w:bottom w:w="60" w:type="dxa"/>
              <w:left w:w="108" w:type="dxa"/>
              <w:right w:w="108" w:type="dxa"/>
            </w:tcMar>
          </w:tcPr>
          <w:p>
            <w:pPr>
              <w:jc w:val="left"/>
            </w:pPr>
            <w:r>
              <w:rPr>
                <w:rFonts w:ascii="Calibri" w:hAnsi="Calibri"/>
                <w:sz w:val="20"/>
              </w:rPr>
              <w:t>1</w:t>
            </w:r>
          </w:p>
        </w:tc>
        <w:tc>
          <w:tcPr>
            <w:tcW w:type="dxa" w:w="1872"/>
            <w:shd w:val="clear" w:color="auto" w:fill="DBEAFE"/>
            <w:tcMar>
              <w:top w:w="60" w:type="dxa"/>
              <w:bottom w:w="60" w:type="dxa"/>
              <w:left w:w="108" w:type="dxa"/>
              <w:right w:w="108" w:type="dxa"/>
            </w:tcMar>
          </w:tcPr>
          <w:p>
            <w:pPr>
              <w:jc w:val="left"/>
            </w:pPr>
            <w:r>
              <w:rPr>
                <w:rFonts w:ascii="Calibri" w:hAnsi="Calibri"/>
                <w:sz w:val="20"/>
              </w:rPr>
              <w:t>Maximum number of suggested amounts to return (up to 3)</w:t>
            </w:r>
          </w:p>
        </w:tc>
        <w:tc>
          <w:tcPr>
            <w:tcW w:type="dxa" w:w="1872"/>
            <w:shd w:val="clear" w:color="auto" w:fill="DBEAFE"/>
            <w:tcMar>
              <w:top w:w="60" w:type="dxa"/>
              <w:bottom w:w="60" w:type="dxa"/>
              <w:left w:w="108" w:type="dxa"/>
              <w:right w:w="108" w:type="dxa"/>
            </w:tcMar>
          </w:tcPr>
          <w:p>
            <w:pPr>
              <w:jc w:val="left"/>
            </w:pPr>
            <w:r>
              <w:rPr>
                <w:rFonts w:ascii="Calibri" w:hAnsi="Calibri"/>
                <w:sz w:val="20"/>
              </w:rPr>
              <w:t>Y</w:t>
            </w:r>
          </w:p>
        </w:tc>
      </w:tr>
      <w:tr>
        <w:tc>
          <w:tcPr>
            <w:tcW w:type="dxa" w:w="1872"/>
            <w:shd w:val="clear" w:color="auto" w:fill="FFFFFF"/>
            <w:tcMar>
              <w:top w:w="60" w:type="dxa"/>
              <w:bottom w:w="60" w:type="dxa"/>
              <w:left w:w="108" w:type="dxa"/>
              <w:right w:w="108" w:type="dxa"/>
            </w:tcMar>
          </w:tcPr>
          <w:p>
            <w:pPr>
              <w:jc w:val="left"/>
            </w:pPr>
            <w:r>
              <w:rPr>
                <w:rFonts w:ascii="Calibri" w:hAnsi="Calibri"/>
                <w:sz w:val="20"/>
              </w:rPr>
              <w:t>suggestedAmount</w:t>
            </w:r>
          </w:p>
        </w:tc>
        <w:tc>
          <w:tcPr>
            <w:tcW w:type="dxa" w:w="1872"/>
            <w:shd w:val="clear" w:color="auto" w:fill="FFFFFF"/>
            <w:tcMar>
              <w:top w:w="60" w:type="dxa"/>
              <w:bottom w:w="60" w:type="dxa"/>
              <w:left w:w="108" w:type="dxa"/>
              <w:right w:w="108" w:type="dxa"/>
            </w:tcMar>
          </w:tcPr>
          <w:p>
            <w:pPr>
              <w:jc w:val="left"/>
            </w:pPr>
            <w:r>
              <w:rPr>
                <w:rFonts w:ascii="Calibri" w:hAnsi="Calibri"/>
                <w:sz w:val="20"/>
              </w:rPr>
              <w:t>Numeric</w:t>
            </w:r>
          </w:p>
        </w:tc>
        <w:tc>
          <w:tcPr>
            <w:tcW w:type="dxa" w:w="1872"/>
            <w:shd w:val="clear" w:color="auto" w:fill="FFFFFF"/>
            <w:tcMar>
              <w:top w:w="60" w:type="dxa"/>
              <w:bottom w:w="60" w:type="dxa"/>
              <w:left w:w="108" w:type="dxa"/>
              <w:right w:w="108" w:type="dxa"/>
            </w:tcMar>
          </w:tcPr>
          <w:p>
            <w:pPr>
              <w:jc w:val="left"/>
            </w:pPr>
            <w:r>
              <w:rPr>
                <w:rFonts w:ascii="Calibri" w:hAnsi="Calibri"/>
                <w:sz w:val="20"/>
              </w:rPr>
              <w:t>8</w:t>
            </w:r>
          </w:p>
        </w:tc>
        <w:tc>
          <w:tcPr>
            <w:tcW w:type="dxa" w:w="1872"/>
            <w:shd w:val="clear" w:color="auto" w:fill="FFFFFF"/>
            <w:tcMar>
              <w:top w:w="60" w:type="dxa"/>
              <w:bottom w:w="60" w:type="dxa"/>
              <w:left w:w="108" w:type="dxa"/>
              <w:right w:w="108" w:type="dxa"/>
            </w:tcMar>
          </w:tcPr>
          <w:p>
            <w:pPr>
              <w:jc w:val="left"/>
            </w:pPr>
            <w:r>
              <w:rPr>
                <w:rFonts w:ascii="Calibri" w:hAnsi="Calibri"/>
                <w:sz w:val="20"/>
              </w:rPr>
              <w:t>One of the suggested payment amounts derived from payer history</w:t>
            </w:r>
          </w:p>
        </w:tc>
        <w:tc>
          <w:tcPr>
            <w:tcW w:type="dxa" w:w="1872"/>
            <w:shd w:val="clear" w:color="auto" w:fill="FFFFFF"/>
            <w:tcMar>
              <w:top w:w="60" w:type="dxa"/>
              <w:bottom w:w="60" w:type="dxa"/>
              <w:left w:w="108" w:type="dxa"/>
              <w:right w:w="108" w:type="dxa"/>
            </w:tcMar>
          </w:tcPr>
          <w:p>
            <w:pPr>
              <w:jc w:val="left"/>
            </w:pPr>
            <w:r>
              <w:rPr>
                <w:rFonts w:ascii="Calibri" w:hAnsi="Calibri"/>
                <w:sz w:val="20"/>
              </w:rPr>
              <w:t>Y</w:t>
            </w:r>
          </w:p>
        </w:tc>
      </w:tr>
      <w:tr>
        <w:tc>
          <w:tcPr>
            <w:tcW w:type="dxa" w:w="1872"/>
            <w:shd w:val="clear" w:color="auto" w:fill="DBEAFE"/>
            <w:tcMar>
              <w:top w:w="60" w:type="dxa"/>
              <w:bottom w:w="60" w:type="dxa"/>
              <w:left w:w="108" w:type="dxa"/>
              <w:right w:w="108" w:type="dxa"/>
            </w:tcMar>
          </w:tcPr>
          <w:p>
            <w:pPr>
              <w:jc w:val="left"/>
            </w:pPr>
            <w:r>
              <w:rPr>
                <w:rFonts w:ascii="Calibri" w:hAnsi="Calibri"/>
                <w:sz w:val="20"/>
              </w:rPr>
              <w:t>confidenceScore</w:t>
            </w:r>
          </w:p>
        </w:tc>
        <w:tc>
          <w:tcPr>
            <w:tcW w:type="dxa" w:w="1872"/>
            <w:shd w:val="clear" w:color="auto" w:fill="DBEAFE"/>
            <w:tcMar>
              <w:top w:w="60" w:type="dxa"/>
              <w:bottom w:w="60" w:type="dxa"/>
              <w:left w:w="108" w:type="dxa"/>
              <w:right w:w="108" w:type="dxa"/>
            </w:tcMar>
          </w:tcPr>
          <w:p>
            <w:pPr>
              <w:jc w:val="left"/>
            </w:pPr>
            <w:r>
              <w:rPr>
                <w:rFonts w:ascii="Calibri" w:hAnsi="Calibri"/>
                <w:sz w:val="20"/>
              </w:rPr>
              <w:t>Decimal</w:t>
            </w:r>
          </w:p>
        </w:tc>
        <w:tc>
          <w:tcPr>
            <w:tcW w:type="dxa" w:w="1872"/>
            <w:shd w:val="clear" w:color="auto" w:fill="DBEAFE"/>
            <w:tcMar>
              <w:top w:w="60" w:type="dxa"/>
              <w:bottom w:w="60" w:type="dxa"/>
              <w:left w:w="108" w:type="dxa"/>
              <w:right w:w="108" w:type="dxa"/>
            </w:tcMar>
          </w:tcPr>
          <w:p>
            <w:pPr>
              <w:jc w:val="left"/>
            </w:pPr>
            <w:r>
              <w:rPr>
                <w:rFonts w:ascii="Calibri" w:hAnsi="Calibri"/>
                <w:sz w:val="20"/>
              </w:rPr>
              <w:t>5</w:t>
            </w:r>
          </w:p>
        </w:tc>
        <w:tc>
          <w:tcPr>
            <w:tcW w:type="dxa" w:w="1872"/>
            <w:shd w:val="clear" w:color="auto" w:fill="DBEAFE"/>
            <w:tcMar>
              <w:top w:w="60" w:type="dxa"/>
              <w:bottom w:w="60" w:type="dxa"/>
              <w:left w:w="108" w:type="dxa"/>
              <w:right w:w="108" w:type="dxa"/>
            </w:tcMar>
          </w:tcPr>
          <w:p>
            <w:pPr>
              <w:jc w:val="left"/>
            </w:pPr>
            <w:r>
              <w:rPr>
                <w:rFonts w:ascii="Calibri" w:hAnsi="Calibri"/>
                <w:sz w:val="20"/>
              </w:rPr>
              <w:t>Algorithmic confidence (0.0 to 1.0) for the suggestion set</w:t>
            </w:r>
          </w:p>
        </w:tc>
        <w:tc>
          <w:tcPr>
            <w:tcW w:type="dxa" w:w="1872"/>
            <w:shd w:val="clear" w:color="auto" w:fill="DBEAFE"/>
            <w:tcMar>
              <w:top w:w="60" w:type="dxa"/>
              <w:bottom w:w="60" w:type="dxa"/>
              <w:left w:w="108" w:type="dxa"/>
              <w:right w:w="108" w:type="dxa"/>
            </w:tcMar>
          </w:tcPr>
          <w:p>
            <w:pPr>
              <w:jc w:val="left"/>
            </w:pPr>
            <w:r>
              <w:rPr>
                <w:rFonts w:ascii="Calibri" w:hAnsi="Calibri"/>
                <w:sz w:val="20"/>
              </w:rPr>
              <w:t>N</w:t>
            </w:r>
          </w:p>
        </w:tc>
      </w:tr>
    </w:tbl>
    <w:p/>
    <w:p>
      <w:pPr>
        <w:spacing w:before="8" w:after="8"/>
        <w:shd w:val="clear" w:color="auto" w:fill="F2F2F2"/>
        <w:ind w:left="360"/>
      </w:pPr>
      <w:r>
        <w:rPr>
          <w:rFonts w:ascii="Courier New" w:hAnsi="Courier New"/>
          <w:color w:val="1F2D3D"/>
          <w:sz w:val="18"/>
        </w:rPr>
        <w:t>&lt;!-- Request: PSP to NPCI --&gt;</w:t>
        <w:br/>
      </w:r>
      <w:r>
        <w:rPr>
          <w:rFonts w:ascii="Courier New" w:hAnsi="Courier New"/>
          <w:color w:val="1F2D3D"/>
          <w:sz w:val="18"/>
        </w:rPr>
        <w:t>&lt;upi:GetAmountSuggestionsRequest xmlns:upi="http://npci.org/upi/schema/"&gt;</w:t>
        <w:br/>
      </w:r>
      <w:r>
        <w:rPr>
          <w:rFonts w:ascii="Courier New" w:hAnsi="Courier New"/>
          <w:color w:val="1F2D3D"/>
          <w:sz w:val="18"/>
        </w:rPr>
        <w:t xml:space="preserve">    &lt;upi:payerVPA&gt;alice@bank&lt;/upi:payerVPA&gt;</w:t>
        <w:br/>
      </w:r>
      <w:r>
        <w:rPr>
          <w:rFonts w:ascii="Courier New" w:hAnsi="Courier New"/>
          <w:color w:val="1F2D3D"/>
          <w:sz w:val="18"/>
        </w:rPr>
        <w:t xml:space="preserve">    &lt;upi:payeeVPA&gt;merchant@bank&lt;/upi:payeeVPA&gt;</w:t>
        <w:br/>
      </w:r>
      <w:r>
        <w:rPr>
          <w:rFonts w:ascii="Courier New" w:hAnsi="Courier New"/>
          <w:color w:val="1F2D3D"/>
          <w:sz w:val="18"/>
        </w:rPr>
        <w:t xml:space="preserve">    &lt;upi:maxSuggestions&gt;3&lt;/upi:maxSuggestions&gt;</w:t>
        <w:br/>
      </w:r>
      <w:r>
        <w:rPr>
          <w:rFonts w:ascii="Courier New" w:hAnsi="Courier New"/>
          <w:color w:val="1F2D3D"/>
          <w:sz w:val="18"/>
        </w:rPr>
        <w:t>&lt;/upi:GetAmountSuggestionsRequest&gt;</w:t>
      </w:r>
    </w:p>
    <w:p>
      <w:pPr>
        <w:spacing w:before="8" w:after="8"/>
        <w:shd w:val="clear" w:color="auto" w:fill="F2F2F2"/>
        <w:ind w:left="360"/>
      </w:pPr>
      <w:r>
        <w:rPr>
          <w:rFonts w:ascii="Courier New" w:hAnsi="Courier New"/>
          <w:color w:val="1F2D3D"/>
          <w:sz w:val="18"/>
        </w:rPr>
        <w:t>&lt;!-- Response: NPCI to PSP --&gt;</w:t>
        <w:br/>
      </w:r>
      <w:r>
        <w:rPr>
          <w:rFonts w:ascii="Courier New" w:hAnsi="Courier New"/>
          <w:color w:val="1F2D3D"/>
          <w:sz w:val="18"/>
        </w:rPr>
        <w:t>&lt;upi:GetAmountSuggestionsResponse xmlns:upi="http://npci.org/upi/schema/"&gt;</w:t>
        <w:br/>
      </w:r>
      <w:r>
        <w:rPr>
          <w:rFonts w:ascii="Courier New" w:hAnsi="Courier New"/>
          <w:color w:val="1F2D3D"/>
          <w:sz w:val="18"/>
        </w:rPr>
        <w:t xml:space="preserve">    &lt;upi:suggestedAmount&gt;199&lt;/upi:suggestedAmount&gt;</w:t>
        <w:br/>
      </w:r>
      <w:r>
        <w:rPr>
          <w:rFonts w:ascii="Courier New" w:hAnsi="Courier New"/>
          <w:color w:val="1F2D3D"/>
          <w:sz w:val="18"/>
        </w:rPr>
        <w:t xml:space="preserve">    &lt;upi:suggestedAmount&gt;299&lt;/upi:suggestedAmount&gt;</w:t>
        <w:br/>
      </w:r>
      <w:r>
        <w:rPr>
          <w:rFonts w:ascii="Courier New" w:hAnsi="Courier New"/>
          <w:color w:val="1F2D3D"/>
          <w:sz w:val="18"/>
        </w:rPr>
        <w:t xml:space="preserve">    &lt;upi:suggestedAmount&gt;499&lt;/upi:suggestedAmount&gt;</w:t>
        <w:br/>
      </w:r>
      <w:r>
        <w:rPr>
          <w:rFonts w:ascii="Courier New" w:hAnsi="Courier New"/>
          <w:color w:val="1F2D3D"/>
          <w:sz w:val="18"/>
        </w:rPr>
        <w:t xml:space="preserve">    &lt;upi:confidenceScore&gt;0.92&lt;/upi:confidenceScore&gt;</w:t>
        <w:br/>
      </w:r>
      <w:r>
        <w:rPr>
          <w:rFonts w:ascii="Courier New" w:hAnsi="Courier New"/>
          <w:color w:val="1F2D3D"/>
          <w:sz w:val="18"/>
        </w:rPr>
        <w:t>&lt;/upi:GetAmountSuggestionsResponse&gt;</w:t>
      </w:r>
    </w:p>
    <w:p>
      <w:pPr>
        <w:pStyle w:val="Heading2"/>
        <w:spacing w:before="12" w:after="6"/>
      </w:pPr>
      <w:r>
        <w:t>iii. Error Handling</w:t>
      </w:r>
    </w:p>
    <w:p>
      <w:pPr>
        <w:spacing w:before="0" w:after="8"/>
      </w:pPr>
      <w:r>
        <w:rPr>
          <w:rFonts w:ascii="Calibri" w:hAnsi="Calibri"/>
          <w:color w:val="0A0A0A"/>
          <w:sz w:val="22"/>
        </w:rPr>
        <w:t>The Smart Amount Suggestion for Payments feature introduces new validation points that must be robustly handled by all participants in the UPI flow. Errors can arise from eligibility checks, activation of the suggestion service, authentication failures, timeout conditions, and feature‑specific rule violations. Each error scenario is mapped to a precise response code and error code to enable deterministic handling by PSPs, NPCI, and banks.</w:t>
      </w:r>
    </w:p>
    <w:p>
      <w:pPr>
        <w:spacing w:before="0" w:after="8"/>
      </w:pPr>
      <w:r>
        <w:rPr>
          <w:rFonts w:ascii="Calibri" w:hAnsi="Calibri"/>
          <w:color w:val="0A0A0A"/>
          <w:sz w:val="22"/>
        </w:rPr>
        <w:t>Integration engineers should implement the error handling logic as defined in the table below, ensuring that UI feedback, transaction rollback, and retry mechanisms align with the originating entity's responsibility. This approach maintains compliance with existing UPI limits while providing clear user messaging for suggestion‑related failures.</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1560"/>
            <w:shd w:val="clear" w:color="auto" w:fill="1D4ED8"/>
            <w:tcMar>
              <w:top w:w="60" w:type="dxa"/>
              <w:bottom w:w="60" w:type="dxa"/>
              <w:left w:w="108" w:type="dxa"/>
              <w:right w:w="108" w:type="dxa"/>
            </w:tcMar>
          </w:tcPr>
          <w:p>
            <w:pPr>
              <w:jc w:val="center"/>
            </w:pPr>
            <w:r>
              <w:rPr>
                <w:rFonts w:ascii="Calibri" w:hAnsi="Calibri"/>
                <w:b/>
                <w:color w:val="FFFFFF"/>
                <w:sz w:val="20"/>
              </w:rPr>
              <w:t>Response Code</w:t>
            </w:r>
          </w:p>
        </w:tc>
        <w:tc>
          <w:tcPr>
            <w:tcW w:type="dxa" w:w="1560"/>
            <w:shd w:val="clear" w:color="auto" w:fill="1D4ED8"/>
            <w:tcMar>
              <w:top w:w="60" w:type="dxa"/>
              <w:bottom w:w="60" w:type="dxa"/>
              <w:left w:w="108" w:type="dxa"/>
              <w:right w:w="108" w:type="dxa"/>
            </w:tcMar>
          </w:tcPr>
          <w:p>
            <w:pPr>
              <w:jc w:val="center"/>
            </w:pPr>
            <w:r>
              <w:rPr>
                <w:rFonts w:ascii="Calibri" w:hAnsi="Calibri"/>
                <w:b/>
                <w:color w:val="FFFFFF"/>
                <w:sz w:val="20"/>
              </w:rPr>
              <w:t>Error Code</w:t>
            </w:r>
          </w:p>
        </w:tc>
        <w:tc>
          <w:tcPr>
            <w:tcW w:type="dxa" w:w="1560"/>
            <w:shd w:val="clear" w:color="auto" w:fill="1D4ED8"/>
            <w:tcMar>
              <w:top w:w="60" w:type="dxa"/>
              <w:bottom w:w="60" w:type="dxa"/>
              <w:left w:w="108" w:type="dxa"/>
              <w:right w:w="108" w:type="dxa"/>
            </w:tcMar>
          </w:tcPr>
          <w:p>
            <w:pPr>
              <w:jc w:val="center"/>
            </w:pPr>
            <w:r>
              <w:rPr>
                <w:rFonts w:ascii="Calibri" w:hAnsi="Calibri"/>
                <w:b/>
                <w:color w:val="FFFFFF"/>
                <w:sz w:val="20"/>
              </w:rPr>
              <w:t>Description</w:t>
            </w:r>
          </w:p>
        </w:tc>
        <w:tc>
          <w:tcPr>
            <w:tcW w:type="dxa" w:w="1560"/>
            <w:shd w:val="clear" w:color="auto" w:fill="1D4ED8"/>
            <w:tcMar>
              <w:top w:w="60" w:type="dxa"/>
              <w:bottom w:w="60" w:type="dxa"/>
              <w:left w:w="108" w:type="dxa"/>
              <w:right w:w="108" w:type="dxa"/>
            </w:tcMar>
          </w:tcPr>
          <w:p>
            <w:pPr>
              <w:jc w:val="center"/>
            </w:pPr>
            <w:r>
              <w:rPr>
                <w:rFonts w:ascii="Calibri" w:hAnsi="Calibri"/>
                <w:b/>
                <w:color w:val="FFFFFF"/>
                <w:sz w:val="20"/>
              </w:rPr>
              <w:t>API</w:t>
            </w:r>
          </w:p>
        </w:tc>
        <w:tc>
          <w:tcPr>
            <w:tcW w:type="dxa" w:w="1560"/>
            <w:shd w:val="clear" w:color="auto" w:fill="1D4ED8"/>
            <w:tcMar>
              <w:top w:w="60" w:type="dxa"/>
              <w:bottom w:w="60" w:type="dxa"/>
              <w:left w:w="108" w:type="dxa"/>
              <w:right w:w="108" w:type="dxa"/>
            </w:tcMar>
          </w:tcPr>
          <w:p>
            <w:pPr>
              <w:jc w:val="center"/>
            </w:pPr>
            <w:r>
              <w:rPr>
                <w:rFonts w:ascii="Calibri" w:hAnsi="Calibri"/>
                <w:b/>
                <w:color w:val="FFFFFF"/>
                <w:sz w:val="20"/>
              </w:rPr>
              <w:t>Entity</w:t>
            </w:r>
          </w:p>
        </w:tc>
        <w:tc>
          <w:tcPr>
            <w:tcW w:type="dxa" w:w="1560"/>
            <w:shd w:val="clear" w:color="auto" w:fill="1D4ED8"/>
            <w:tcMar>
              <w:top w:w="60" w:type="dxa"/>
              <w:bottom w:w="60" w:type="dxa"/>
              <w:left w:w="108" w:type="dxa"/>
              <w:right w:w="108" w:type="dxa"/>
            </w:tcMar>
          </w:tcPr>
          <w:p>
            <w:pPr>
              <w:jc w:val="center"/>
            </w:pPr>
            <w:r>
              <w:rPr>
                <w:rFonts w:ascii="Calibri" w:hAnsi="Calibri"/>
                <w:b/>
                <w:color w:val="FFFFFF"/>
                <w:sz w:val="20"/>
              </w:rPr>
              <w:t>TD/BD</w:t>
            </w:r>
          </w:p>
        </w:tc>
      </w:tr>
      <w:tr>
        <w:tc>
          <w:tcPr>
            <w:tcW w:type="dxa" w:w="1560"/>
            <w:shd w:val="clear" w:color="auto" w:fill="DBEAFE"/>
            <w:tcMar>
              <w:top w:w="60" w:type="dxa"/>
              <w:bottom w:w="60" w:type="dxa"/>
              <w:left w:w="108" w:type="dxa"/>
              <w:right w:w="108" w:type="dxa"/>
            </w:tcMar>
          </w:tcPr>
          <w:p>
            <w:pPr>
              <w:jc w:val="left"/>
            </w:pPr>
            <w:r>
              <w:rPr>
                <w:rFonts w:ascii="Calibri" w:hAnsi="Calibri"/>
                <w:sz w:val="20"/>
              </w:rPr>
              <w:t>01</w:t>
            </w:r>
          </w:p>
        </w:tc>
        <w:tc>
          <w:tcPr>
            <w:tcW w:type="dxa" w:w="1560"/>
            <w:shd w:val="clear" w:color="auto" w:fill="DBEAFE"/>
            <w:tcMar>
              <w:top w:w="60" w:type="dxa"/>
              <w:bottom w:w="60" w:type="dxa"/>
              <w:left w:w="108" w:type="dxa"/>
              <w:right w:w="108" w:type="dxa"/>
            </w:tcMar>
          </w:tcPr>
          <w:p>
            <w:pPr>
              <w:jc w:val="left"/>
            </w:pPr>
            <w:r>
              <w:rPr>
                <w:rFonts w:ascii="Calibri" w:hAnsi="Calibri"/>
                <w:sz w:val="20"/>
              </w:rPr>
              <w:t>TECH_DECLINE</w:t>
            </w:r>
          </w:p>
        </w:tc>
        <w:tc>
          <w:tcPr>
            <w:tcW w:type="dxa" w:w="1560"/>
            <w:shd w:val="clear" w:color="auto" w:fill="DBEAFE"/>
            <w:tcMar>
              <w:top w:w="60" w:type="dxa"/>
              <w:bottom w:w="60" w:type="dxa"/>
              <w:left w:w="108" w:type="dxa"/>
              <w:right w:w="108" w:type="dxa"/>
            </w:tcMar>
          </w:tcPr>
          <w:p>
            <w:pPr>
              <w:jc w:val="left"/>
            </w:pPr>
            <w:r>
              <w:rPr>
                <w:rFonts w:ascii="Calibri" w:hAnsi="Calibri"/>
                <w:sz w:val="20"/>
              </w:rPr>
              <w:t>PIN entry failed after selecting a suggested amount greater than ₹15,000; transaction is declined with a technical decline code.</w:t>
            </w:r>
          </w:p>
        </w:tc>
        <w:tc>
          <w:tcPr>
            <w:tcW w:type="dxa" w:w="1560"/>
            <w:shd w:val="clear" w:color="auto" w:fill="DBEAFE"/>
            <w:tcMar>
              <w:top w:w="60" w:type="dxa"/>
              <w:bottom w:w="60" w:type="dxa"/>
              <w:left w:w="108" w:type="dxa"/>
              <w:right w:w="108" w:type="dxa"/>
            </w:tcMar>
          </w:tcPr>
          <w:p>
            <w:pPr>
              <w:jc w:val="left"/>
            </w:pPr>
            <w:r>
              <w:rPr>
                <w:rFonts w:ascii="Calibri" w:hAnsi="Calibri"/>
                <w:sz w:val="20"/>
              </w:rPr>
              <w:t>REQ_PAY</w:t>
            </w:r>
          </w:p>
        </w:tc>
        <w:tc>
          <w:tcPr>
            <w:tcW w:type="dxa" w:w="1560"/>
            <w:shd w:val="clear" w:color="auto" w:fill="DBEAFE"/>
            <w:tcMar>
              <w:top w:w="60" w:type="dxa"/>
              <w:bottom w:w="60" w:type="dxa"/>
              <w:left w:w="108" w:type="dxa"/>
              <w:right w:w="108" w:type="dxa"/>
            </w:tcMar>
          </w:tcPr>
          <w:p>
            <w:pPr>
              <w:jc w:val="left"/>
            </w:pPr>
            <w:r>
              <w:rPr>
                <w:rFonts w:ascii="Calibri" w:hAnsi="Calibri"/>
                <w:sz w:val="20"/>
              </w:rPr>
              <w:t>Issuer/Remitter Bank</w:t>
            </w:r>
          </w:p>
        </w:tc>
        <w:tc>
          <w:tcPr>
            <w:tcW w:type="dxa" w:w="1560"/>
            <w:shd w:val="clear" w:color="auto" w:fill="DBEAFE"/>
            <w:tcMar>
              <w:top w:w="60" w:type="dxa"/>
              <w:bottom w:w="60" w:type="dxa"/>
              <w:left w:w="108" w:type="dxa"/>
              <w:right w:w="108" w:type="dxa"/>
            </w:tcMar>
          </w:tcPr>
          <w:p>
            <w:pPr>
              <w:jc w:val="left"/>
            </w:pPr>
            <w:r>
              <w:rPr>
                <w:rFonts w:ascii="Calibri" w:hAnsi="Calibri"/>
                <w:sz w:val="20"/>
              </w:rPr>
              <w:t>TD</w:t>
            </w:r>
          </w:p>
        </w:tc>
      </w:tr>
      <w:tr>
        <w:tc>
          <w:tcPr>
            <w:tcW w:type="dxa" w:w="1560"/>
            <w:shd w:val="clear" w:color="auto" w:fill="FFFFFF"/>
            <w:tcMar>
              <w:top w:w="60" w:type="dxa"/>
              <w:bottom w:w="60" w:type="dxa"/>
              <w:left w:w="108" w:type="dxa"/>
              <w:right w:w="108" w:type="dxa"/>
            </w:tcMar>
          </w:tcPr>
          <w:p>
            <w:pPr>
              <w:jc w:val="left"/>
            </w:pPr>
            <w:r>
              <w:rPr>
                <w:rFonts w:ascii="Calibri" w:hAnsi="Calibri"/>
                <w:sz w:val="20"/>
              </w:rPr>
              <w:t>02</w:t>
            </w:r>
          </w:p>
        </w:tc>
        <w:tc>
          <w:tcPr>
            <w:tcW w:type="dxa" w:w="1560"/>
            <w:shd w:val="clear" w:color="auto" w:fill="FFFFFF"/>
            <w:tcMar>
              <w:top w:w="60" w:type="dxa"/>
              <w:bottom w:w="60" w:type="dxa"/>
              <w:left w:w="108" w:type="dxa"/>
              <w:right w:w="108" w:type="dxa"/>
            </w:tcMar>
          </w:tcPr>
          <w:p>
            <w:pPr>
              <w:jc w:val="left"/>
            </w:pPr>
            <w:r>
              <w:rPr>
                <w:rFonts w:ascii="Calibri" w:hAnsi="Calibri"/>
                <w:sz w:val="20"/>
              </w:rPr>
              <w:t>LIMIT_EXCEEDED</w:t>
            </w:r>
          </w:p>
        </w:tc>
        <w:tc>
          <w:tcPr>
            <w:tcW w:type="dxa" w:w="1560"/>
            <w:shd w:val="clear" w:color="auto" w:fill="FFFFFF"/>
            <w:tcMar>
              <w:top w:w="60" w:type="dxa"/>
              <w:bottom w:w="60" w:type="dxa"/>
              <w:left w:w="108" w:type="dxa"/>
              <w:right w:w="108" w:type="dxa"/>
            </w:tcMar>
          </w:tcPr>
          <w:p>
            <w:pPr>
              <w:jc w:val="left"/>
            </w:pPr>
            <w:r>
              <w:rPr>
                <w:rFonts w:ascii="Calibri" w:hAnsi="Calibri"/>
                <w:sz w:val="20"/>
              </w:rPr>
              <w:t>Suggested amount exceeds the applicable per‑transaction limit (₹15,000 standard UPI, ₹500 UPI‑Lite); UI blocks selection and displays an error.</w:t>
            </w:r>
          </w:p>
        </w:tc>
        <w:tc>
          <w:tcPr>
            <w:tcW w:type="dxa" w:w="1560"/>
            <w:shd w:val="clear" w:color="auto" w:fill="FFFFFF"/>
            <w:tcMar>
              <w:top w:w="60" w:type="dxa"/>
              <w:bottom w:w="60" w:type="dxa"/>
              <w:left w:w="108" w:type="dxa"/>
              <w:right w:w="108" w:type="dxa"/>
            </w:tcMar>
          </w:tcPr>
          <w:p>
            <w:pPr>
              <w:jc w:val="left"/>
            </w:pPr>
            <w:r>
              <w:rPr>
                <w:rFonts w:ascii="Calibri" w:hAnsi="Calibri"/>
                <w:sz w:val="20"/>
              </w:rPr>
              <w:t>GetAmountSuggestions</w:t>
            </w:r>
          </w:p>
        </w:tc>
        <w:tc>
          <w:tcPr>
            <w:tcW w:type="dxa" w:w="1560"/>
            <w:shd w:val="clear" w:color="auto" w:fill="FFFFFF"/>
            <w:tcMar>
              <w:top w:w="60" w:type="dxa"/>
              <w:bottom w:w="60" w:type="dxa"/>
              <w:left w:w="108" w:type="dxa"/>
              <w:right w:w="108" w:type="dxa"/>
            </w:tcMar>
          </w:tcPr>
          <w:p>
            <w:pPr>
              <w:jc w:val="left"/>
            </w:pPr>
            <w:r>
              <w:rPr>
                <w:rFonts w:ascii="Calibri" w:hAnsi="Calibri"/>
                <w:sz w:val="20"/>
              </w:rPr>
              <w:t>PSP</w:t>
            </w:r>
          </w:p>
        </w:tc>
        <w:tc>
          <w:tcPr>
            <w:tcW w:type="dxa" w:w="1560"/>
            <w:shd w:val="clear" w:color="auto" w:fill="FFFFFF"/>
            <w:tcMar>
              <w:top w:w="60" w:type="dxa"/>
              <w:bottom w:w="60" w:type="dxa"/>
              <w:left w:w="108" w:type="dxa"/>
              <w:right w:w="108" w:type="dxa"/>
            </w:tcMar>
          </w:tcPr>
          <w:p>
            <w:pPr>
              <w:jc w:val="left"/>
            </w:pPr>
            <w:r>
              <w:rPr>
                <w:rFonts w:ascii="Calibri" w:hAnsi="Calibri"/>
                <w:sz w:val="20"/>
              </w:rPr>
              <w:t>BD</w:t>
            </w:r>
          </w:p>
        </w:tc>
      </w:tr>
      <w:tr>
        <w:tc>
          <w:tcPr>
            <w:tcW w:type="dxa" w:w="1560"/>
            <w:shd w:val="clear" w:color="auto" w:fill="DBEAFE"/>
            <w:tcMar>
              <w:top w:w="60" w:type="dxa"/>
              <w:bottom w:w="60" w:type="dxa"/>
              <w:left w:w="108" w:type="dxa"/>
              <w:right w:w="108" w:type="dxa"/>
            </w:tcMar>
          </w:tcPr>
          <w:p>
            <w:pPr>
              <w:jc w:val="left"/>
            </w:pPr>
            <w:r>
              <w:rPr>
                <w:rFonts w:ascii="Calibri" w:hAnsi="Calibri"/>
                <w:sz w:val="20"/>
              </w:rPr>
              <w:t>03</w:t>
            </w:r>
          </w:p>
        </w:tc>
        <w:tc>
          <w:tcPr>
            <w:tcW w:type="dxa" w:w="1560"/>
            <w:shd w:val="clear" w:color="auto" w:fill="DBEAFE"/>
            <w:tcMar>
              <w:top w:w="60" w:type="dxa"/>
              <w:bottom w:w="60" w:type="dxa"/>
              <w:left w:w="108" w:type="dxa"/>
              <w:right w:w="108" w:type="dxa"/>
            </w:tcMar>
          </w:tcPr>
          <w:p>
            <w:pPr>
              <w:jc w:val="left"/>
            </w:pPr>
            <w:r>
              <w:rPr>
                <w:rFonts w:ascii="Calibri" w:hAnsi="Calibri"/>
                <w:sz w:val="20"/>
              </w:rPr>
              <w:t>SUGGESTION_UNAVAILABLE</w:t>
            </w:r>
          </w:p>
        </w:tc>
        <w:tc>
          <w:tcPr>
            <w:tcW w:type="dxa" w:w="1560"/>
            <w:shd w:val="clear" w:color="auto" w:fill="DBEAFE"/>
            <w:tcMar>
              <w:top w:w="60" w:type="dxa"/>
              <w:bottom w:w="60" w:type="dxa"/>
              <w:left w:w="108" w:type="dxa"/>
              <w:right w:w="108" w:type="dxa"/>
            </w:tcMar>
          </w:tcPr>
          <w:p>
            <w:pPr>
              <w:jc w:val="left"/>
            </w:pPr>
            <w:r>
              <w:rPr>
                <w:rFonts w:ascii="Calibri" w:hAnsi="Calibri"/>
                <w:sz w:val="20"/>
              </w:rPr>
              <w:t>No historical transaction data available to generate suggestions; GetAmountSuggestions returns an empty list.</w:t>
            </w:r>
          </w:p>
        </w:tc>
        <w:tc>
          <w:tcPr>
            <w:tcW w:type="dxa" w:w="1560"/>
            <w:shd w:val="clear" w:color="auto" w:fill="DBEAFE"/>
            <w:tcMar>
              <w:top w:w="60" w:type="dxa"/>
              <w:bottom w:w="60" w:type="dxa"/>
              <w:left w:w="108" w:type="dxa"/>
              <w:right w:w="108" w:type="dxa"/>
            </w:tcMar>
          </w:tcPr>
          <w:p>
            <w:pPr>
              <w:jc w:val="left"/>
            </w:pPr>
            <w:r>
              <w:rPr>
                <w:rFonts w:ascii="Calibri" w:hAnsi="Calibri"/>
                <w:sz w:val="20"/>
              </w:rPr>
              <w:t>GetAmountSuggestions</w:t>
            </w:r>
          </w:p>
        </w:tc>
        <w:tc>
          <w:tcPr>
            <w:tcW w:type="dxa" w:w="1560"/>
            <w:shd w:val="clear" w:color="auto" w:fill="DBEAFE"/>
            <w:tcMar>
              <w:top w:w="60" w:type="dxa"/>
              <w:bottom w:w="60" w:type="dxa"/>
              <w:left w:w="108" w:type="dxa"/>
              <w:right w:w="108" w:type="dxa"/>
            </w:tcMar>
          </w:tcPr>
          <w:p>
            <w:pPr>
              <w:jc w:val="left"/>
            </w:pPr>
            <w:r>
              <w:rPr>
                <w:rFonts w:ascii="Calibri" w:hAnsi="Calibri"/>
                <w:sz w:val="20"/>
              </w:rPr>
              <w:t>PSP</w:t>
            </w:r>
          </w:p>
        </w:tc>
        <w:tc>
          <w:tcPr>
            <w:tcW w:type="dxa" w:w="1560"/>
            <w:shd w:val="clear" w:color="auto" w:fill="DBEAFE"/>
            <w:tcMar>
              <w:top w:w="60" w:type="dxa"/>
              <w:bottom w:w="60" w:type="dxa"/>
              <w:left w:w="108" w:type="dxa"/>
              <w:right w:w="108" w:type="dxa"/>
            </w:tcMar>
          </w:tcPr>
          <w:p>
            <w:pPr>
              <w:jc w:val="left"/>
            </w:pPr>
            <w:r>
              <w:rPr>
                <w:rFonts w:ascii="Calibri" w:hAnsi="Calibri"/>
                <w:sz w:val="20"/>
              </w:rPr>
              <w:t>BD</w:t>
            </w:r>
          </w:p>
        </w:tc>
      </w:tr>
      <w:tr>
        <w:tc>
          <w:tcPr>
            <w:tcW w:type="dxa" w:w="1560"/>
            <w:shd w:val="clear" w:color="auto" w:fill="FFFFFF"/>
            <w:tcMar>
              <w:top w:w="60" w:type="dxa"/>
              <w:bottom w:w="60" w:type="dxa"/>
              <w:left w:w="108" w:type="dxa"/>
              <w:right w:w="108" w:type="dxa"/>
            </w:tcMar>
          </w:tcPr>
          <w:p>
            <w:pPr>
              <w:jc w:val="left"/>
            </w:pPr>
            <w:r>
              <w:rPr>
                <w:rFonts w:ascii="Calibri" w:hAnsi="Calibri"/>
                <w:sz w:val="20"/>
              </w:rPr>
              <w:t>04</w:t>
            </w:r>
          </w:p>
        </w:tc>
        <w:tc>
          <w:tcPr>
            <w:tcW w:type="dxa" w:w="1560"/>
            <w:shd w:val="clear" w:color="auto" w:fill="FFFFFF"/>
            <w:tcMar>
              <w:top w:w="60" w:type="dxa"/>
              <w:bottom w:w="60" w:type="dxa"/>
              <w:left w:w="108" w:type="dxa"/>
              <w:right w:w="108" w:type="dxa"/>
            </w:tcMar>
          </w:tcPr>
          <w:p>
            <w:pPr>
              <w:jc w:val="left"/>
            </w:pPr>
            <w:r>
              <w:rPr>
                <w:rFonts w:ascii="Calibri" w:hAnsi="Calibri"/>
                <w:sz w:val="20"/>
              </w:rPr>
              <w:t>AUTH_FAILURE</w:t>
            </w:r>
          </w:p>
        </w:tc>
        <w:tc>
          <w:tcPr>
            <w:tcW w:type="dxa" w:w="1560"/>
            <w:shd w:val="clear" w:color="auto" w:fill="FFFFFF"/>
            <w:tcMar>
              <w:top w:w="60" w:type="dxa"/>
              <w:bottom w:w="60" w:type="dxa"/>
              <w:left w:w="108" w:type="dxa"/>
              <w:right w:w="108" w:type="dxa"/>
            </w:tcMar>
          </w:tcPr>
          <w:p>
            <w:pPr>
              <w:jc w:val="left"/>
            </w:pPr>
            <w:r>
              <w:rPr>
                <w:rFonts w:ascii="Calibri" w:hAnsi="Calibri"/>
                <w:sz w:val="20"/>
              </w:rPr>
              <w:t>Authentication details are invalid or PIN verification fails for amounts within the allowed limit.</w:t>
            </w:r>
          </w:p>
        </w:tc>
        <w:tc>
          <w:tcPr>
            <w:tcW w:type="dxa" w:w="1560"/>
            <w:shd w:val="clear" w:color="auto" w:fill="FFFFFF"/>
            <w:tcMar>
              <w:top w:w="60" w:type="dxa"/>
              <w:bottom w:w="60" w:type="dxa"/>
              <w:left w:w="108" w:type="dxa"/>
              <w:right w:w="108" w:type="dxa"/>
            </w:tcMar>
          </w:tcPr>
          <w:p>
            <w:pPr>
              <w:jc w:val="left"/>
            </w:pPr>
            <w:r>
              <w:rPr>
                <w:rFonts w:ascii="Calibri" w:hAnsi="Calibri"/>
                <w:sz w:val="20"/>
              </w:rPr>
              <w:t>REQ_AUTH_DETAILS</w:t>
            </w:r>
          </w:p>
        </w:tc>
        <w:tc>
          <w:tcPr>
            <w:tcW w:type="dxa" w:w="1560"/>
            <w:shd w:val="clear" w:color="auto" w:fill="FFFFFF"/>
            <w:tcMar>
              <w:top w:w="60" w:type="dxa"/>
              <w:bottom w:w="60" w:type="dxa"/>
              <w:left w:w="108" w:type="dxa"/>
              <w:right w:w="108" w:type="dxa"/>
            </w:tcMar>
          </w:tcPr>
          <w:p>
            <w:pPr>
              <w:jc w:val="left"/>
            </w:pPr>
            <w:r>
              <w:rPr>
                <w:rFonts w:ascii="Calibri" w:hAnsi="Calibri"/>
                <w:sz w:val="20"/>
              </w:rPr>
              <w:t>Issuer/Remitter Bank</w:t>
            </w:r>
          </w:p>
        </w:tc>
        <w:tc>
          <w:tcPr>
            <w:tcW w:type="dxa" w:w="1560"/>
            <w:shd w:val="clear" w:color="auto" w:fill="FFFFFF"/>
            <w:tcMar>
              <w:top w:w="60" w:type="dxa"/>
              <w:bottom w:w="60" w:type="dxa"/>
              <w:left w:w="108" w:type="dxa"/>
              <w:right w:w="108" w:type="dxa"/>
            </w:tcMar>
          </w:tcPr>
          <w:p>
            <w:pPr>
              <w:jc w:val="left"/>
            </w:pPr>
            <w:r>
              <w:rPr>
                <w:rFonts w:ascii="Calibri" w:hAnsi="Calibri"/>
                <w:sz w:val="20"/>
              </w:rPr>
              <w:t>TD</w:t>
            </w:r>
          </w:p>
        </w:tc>
      </w:tr>
      <w:tr>
        <w:tc>
          <w:tcPr>
            <w:tcW w:type="dxa" w:w="1560"/>
            <w:shd w:val="clear" w:color="auto" w:fill="DBEAFE"/>
            <w:tcMar>
              <w:top w:w="60" w:type="dxa"/>
              <w:bottom w:w="60" w:type="dxa"/>
              <w:left w:w="108" w:type="dxa"/>
              <w:right w:w="108" w:type="dxa"/>
            </w:tcMar>
          </w:tcPr>
          <w:p>
            <w:pPr>
              <w:jc w:val="left"/>
            </w:pPr>
            <w:r>
              <w:rPr>
                <w:rFonts w:ascii="Calibri" w:hAnsi="Calibri"/>
                <w:sz w:val="20"/>
              </w:rPr>
              <w:t>05</w:t>
            </w:r>
          </w:p>
        </w:tc>
        <w:tc>
          <w:tcPr>
            <w:tcW w:type="dxa" w:w="1560"/>
            <w:shd w:val="clear" w:color="auto" w:fill="DBEAFE"/>
            <w:tcMar>
              <w:top w:w="60" w:type="dxa"/>
              <w:bottom w:w="60" w:type="dxa"/>
              <w:left w:w="108" w:type="dxa"/>
              <w:right w:w="108" w:type="dxa"/>
            </w:tcMar>
          </w:tcPr>
          <w:p>
            <w:pPr>
              <w:jc w:val="left"/>
            </w:pPr>
            <w:r>
              <w:rPr>
                <w:rFonts w:ascii="Calibri" w:hAnsi="Calibri"/>
                <w:sz w:val="20"/>
              </w:rPr>
              <w:t>TIMEOUT</w:t>
            </w:r>
          </w:p>
        </w:tc>
        <w:tc>
          <w:tcPr>
            <w:tcW w:type="dxa" w:w="1560"/>
            <w:shd w:val="clear" w:color="auto" w:fill="DBEAFE"/>
            <w:tcMar>
              <w:top w:w="60" w:type="dxa"/>
              <w:bottom w:w="60" w:type="dxa"/>
              <w:left w:w="108" w:type="dxa"/>
              <w:right w:w="108" w:type="dxa"/>
            </w:tcMar>
          </w:tcPr>
          <w:p>
            <w:pPr>
              <w:jc w:val="left"/>
            </w:pPr>
            <w:r>
              <w:rPr>
                <w:rFonts w:ascii="Calibri" w:hAnsi="Calibri"/>
                <w:sz w:val="20"/>
              </w:rPr>
              <w:t>No response from NPCI within the stipulated time; transaction is marked pending and REQ_CHK_TXN may be invoked for status reconciliation.</w:t>
            </w:r>
          </w:p>
        </w:tc>
        <w:tc>
          <w:tcPr>
            <w:tcW w:type="dxa" w:w="1560"/>
            <w:shd w:val="clear" w:color="auto" w:fill="DBEAFE"/>
            <w:tcMar>
              <w:top w:w="60" w:type="dxa"/>
              <w:bottom w:w="60" w:type="dxa"/>
              <w:left w:w="108" w:type="dxa"/>
              <w:right w:w="108" w:type="dxa"/>
            </w:tcMar>
          </w:tcPr>
          <w:p>
            <w:pPr>
              <w:jc w:val="left"/>
            </w:pPr>
            <w:r>
              <w:rPr>
                <w:rFonts w:ascii="Calibri" w:hAnsi="Calibri"/>
                <w:sz w:val="20"/>
              </w:rPr>
              <w:t>REQ_PAY</w:t>
            </w:r>
          </w:p>
        </w:tc>
        <w:tc>
          <w:tcPr>
            <w:tcW w:type="dxa" w:w="1560"/>
            <w:shd w:val="clear" w:color="auto" w:fill="DBEAFE"/>
            <w:tcMar>
              <w:top w:w="60" w:type="dxa"/>
              <w:bottom w:w="60" w:type="dxa"/>
              <w:left w:w="108" w:type="dxa"/>
              <w:right w:w="108" w:type="dxa"/>
            </w:tcMar>
          </w:tcPr>
          <w:p>
            <w:pPr>
              <w:jc w:val="left"/>
            </w:pPr>
            <w:r>
              <w:rPr>
                <w:rFonts w:ascii="Calibri" w:hAnsi="Calibri"/>
                <w:sz w:val="20"/>
              </w:rPr>
              <w:t>NPCI</w:t>
            </w:r>
          </w:p>
        </w:tc>
        <w:tc>
          <w:tcPr>
            <w:tcW w:type="dxa" w:w="1560"/>
            <w:shd w:val="clear" w:color="auto" w:fill="DBEAFE"/>
            <w:tcMar>
              <w:top w:w="60" w:type="dxa"/>
              <w:bottom w:w="60" w:type="dxa"/>
              <w:left w:w="108" w:type="dxa"/>
              <w:right w:w="108" w:type="dxa"/>
            </w:tcMar>
          </w:tcPr>
          <w:p>
            <w:pPr>
              <w:jc w:val="left"/>
            </w:pPr>
            <w:r>
              <w:rPr>
                <w:rFonts w:ascii="Calibri" w:hAnsi="Calibri"/>
                <w:sz w:val="20"/>
              </w:rPr>
              <w:t>TD</w:t>
            </w:r>
          </w:p>
        </w:tc>
      </w:tr>
    </w:tbl>
    <w:p/>
    <w:p>
      <w:pPr>
        <w:pStyle w:val="Heading2"/>
        <w:spacing w:before="12" w:after="6"/>
      </w:pPr>
      <w:r>
        <w:t>iv. Note:</w:t>
      </w:r>
    </w:p>
    <w:p>
      <w:pPr>
        <w:spacing w:before="0" w:after="8"/>
      </w:pPr>
      <w:r>
        <w:rPr>
          <w:rFonts w:ascii="Calibri" w:hAnsi="Calibri"/>
          <w:color w:val="0A0A0A"/>
          <w:sz w:val="22"/>
        </w:rPr>
        <w:t>The following technical notes capture cross‑flow integration requirements, edge‑case handling, timeout expectations, and operational safeguards for Smart Amount Suggestion for Payments. They must be adhered to by all PSPs, the suggestion service, and NPCI components to ensure seamless user experience and compliance with existing UPI limits.</w:t>
      </w:r>
    </w:p>
    <w:p>
      <w:pPr>
        <w:spacing w:before="0" w:after="8"/>
      </w:pPr>
      <w:r>
        <w:rPr>
          <w:rFonts w:ascii="Calibri" w:hAnsi="Calibri"/>
          <w:color w:val="0A0A0A"/>
          <w:sz w:val="22"/>
        </w:rPr>
        <w:t>Each note is actionable and reflects the authoritative specifications, including the new GetAmountSuggestions API, per‑transaction and daily limits, and fallback behavior when the suggestion service is unavailable or delayed.</w:t>
      </w:r>
    </w:p>
    <w:p>
      <w:pPr>
        <w:pStyle w:val="ListNumber"/>
        <w:spacing w:before="0" w:after="4"/>
      </w:pPr>
      <w:r>
        <w:rPr>
          <w:rFonts w:ascii="Calibri" w:hAnsi="Calibri"/>
          <w:sz w:val="22"/>
        </w:rPr>
        <w:t>1. Integration Rule: Prior to rendering the payment UI, the Payer PSP must invoke the GetAmountSuggestions request (payerVPA, payeeVPA, maxSuggestions) and render only the amounts returned in the subsequent ReqPay message; the amount field in ReqPay must exactly match the selected suggested_amount.</w:t>
      </w:r>
    </w:p>
    <w:p>
      <w:pPr>
        <w:pStyle w:val="ListNumber"/>
        <w:spacing w:before="0" w:after="4"/>
      </w:pPr>
      <w:r>
        <w:rPr>
          <w:rFonts w:ascii="Calibri" w:hAnsi="Calibri"/>
          <w:sz w:val="22"/>
        </w:rPr>
        <w:t>2. Edge‑Case Validation: The suggestion engine must filter out any suggested_amount that exceeds the standard per‑transaction limit (₹15,000 for standard UPI, ₹500 for UPI‑Lite) or would cause the payer’s daily aggregate limit (₹1 Lakh or ₹10 K) to be breached; such amounts must not be returned to the UI.</w:t>
      </w:r>
    </w:p>
    <w:p>
      <w:pPr>
        <w:pStyle w:val="ListNumber"/>
        <w:spacing w:before="0" w:after="4"/>
      </w:pPr>
      <w:r>
        <w:rPr>
          <w:rFonts w:ascii="Calibri" w:hAnsi="Calibri"/>
          <w:sz w:val="22"/>
        </w:rPr>
        <w:t>3. Timeout Handling: If GetAmountSuggestions does not respond within 5 seconds, the PSP must abort the suggestion flow and fall back to the static quick‑pay buttons or manual amount entry to avoid user‑perceived latency.</w:t>
      </w:r>
    </w:p>
    <w:p>
      <w:pPr>
        <w:pStyle w:val="ListNumber"/>
        <w:spacing w:before="0" w:after="4"/>
      </w:pPr>
      <w:r>
        <w:rPr>
          <w:rFonts w:ascii="Calibri" w:hAnsi="Calibri"/>
          <w:sz w:val="22"/>
        </w:rPr>
        <w:t>4. Operational Rule: All suggestion service logs must retain only the payerVPA and payeeVPA identifiers; no additional PII may be stored, ensuring compliance with RBI data‑privacy guidelines.</w:t>
      </w:r>
    </w:p>
    <w:p>
      <w:pPr>
        <w:pStyle w:val="ListNumber"/>
        <w:spacing w:before="0" w:after="4"/>
      </w:pPr>
      <w:r>
        <w:rPr>
          <w:rFonts w:ascii="Calibri" w:hAnsi="Calibri"/>
          <w:sz w:val="22"/>
        </w:rPr>
        <w:t>5. Failure Path: In case the selected suggested amount triggers a validation error during ReqPay (e.g., limit breach detected by NPCI), the PSP must present an error to the user and allow manual amount correction before re‑issuing ReqPay.</w:t>
      </w:r>
    </w:p>
    <w:sectPr w:rsidR="00FC693F" w:rsidRPr="0006063C" w:rsidSect="00034616">
      <w:headerReference w:type="default" r:id="rId9"/>
      <w:headerReference w:type="first" r:id="rId10"/>
      <w:footerReference w:type="default" r:id="rId11"/>
      <w:pgSz w:w="12240" w:h="15840"/>
      <w:pgMar w:top="1440" w:right="1440" w:bottom="1440"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i/>
        <w:color w:val="374151"/>
        <w:sz w:val="18"/>
      </w:rPr>
      <w:t xml:space="preserve">Draft / Confidential  |  Page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6" w:space="1" w:color="1E40AF"/>
      </w:pBdr>
    </w:pPr>
    <w:r>
      <w:rPr>
        <w:rFonts w:ascii="Calibri" w:hAnsi="Calibri"/>
        <w:color w:val="1E40AF"/>
        <w:sz w:val="18"/>
      </w:rPr>
      <w:t>Technical Specification Document — Smart Amount Suggestion for Payments  |  v1.0</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0A0A0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Calibri" w:hAnsi="Calibri"/>
      <w:b/>
      <w:bCs/>
      <w:color w:val="1E40AF"/>
      <w:sz w:val="36"/>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Calibri" w:hAnsi="Calibri"/>
      <w:b/>
      <w:bCs/>
      <w:color w:val="1E3A5F"/>
      <w:sz w:val="28"/>
      <w:szCs w:val="26"/>
    </w:rPr>
  </w:style>
  <w:style w:type="paragraph" w:styleId="Heading3">
    <w:name w:val="heading 3"/>
    <w:basedOn w:val="Normal"/>
    <w:next w:val="Normal"/>
    <w:link w:val="Heading3Char"/>
    <w:uiPriority w:val="9"/>
    <w:unhideWhenUsed/>
    <w:qFormat/>
    <w:rsid w:val="00FC693F"/>
    <w:pPr>
      <w:keepNext/>
      <w:keepLines/>
      <w:spacing w:before="240" w:after="80"/>
      <w:outlineLvl w:val="2"/>
    </w:pPr>
    <w:rPr>
      <w:rFonts w:asciiTheme="majorHAnsi" w:eastAsiaTheme="majorEastAsia" w:hAnsiTheme="majorHAnsi" w:cstheme="majorBidi" w:ascii="Calibri" w:hAnsi="Calibri"/>
      <w:b/>
      <w:bCs/>
      <w:color w:val="37415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keepNext/>
      <w:spacing w:after="160"/>
      <w:outlineLvl w:val="9"/>
    </w:pPr>
    <w:rPr>
      <w:rFonts w:ascii="Calibri" w:hAnsi="Calibri"/>
      <w:b/>
      <w:color w:val="1E40AF"/>
      <w:sz w:val="36"/>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OC1">
    <w:name w:val="TOC 1"/>
    <w:pPr>
      <w:tabs>
        <w:tab w:pos="9000" w:val="right" w:leader="dot"/>
      </w:tabs>
      <w:spacing w:before="200" w:after="80"/>
      <w:ind w:left="0"/>
    </w:pPr>
    <w:rPr>
      <w:rFonts w:ascii="Calibri" w:hAnsi="Calibri"/>
      <w:b/>
      <w:color w:val="1E40AF"/>
      <w:sz w:val="24"/>
    </w:rPr>
  </w:style>
  <w:style w:type="paragraph" w:customStyle="1" w:styleId="TOC2">
    <w:name w:val="TOC 2"/>
    <w:pPr>
      <w:tabs>
        <w:tab w:pos="8683" w:val="right" w:leader="dot"/>
      </w:tabs>
      <w:spacing w:before="120" w:after="40"/>
      <w:ind w:left="317"/>
    </w:pPr>
    <w:rPr>
      <w:rFonts w:ascii="Calibri" w:hAnsi="Calibri"/>
      <w:b w:val="0"/>
      <w:color w:val="1E3A5F"/>
      <w:sz w:val="22"/>
    </w:rPr>
  </w:style>
  <w:style w:type="paragraph" w:customStyle="1" w:styleId="TOC3">
    <w:name w:val="TOC 3"/>
    <w:pPr>
      <w:tabs>
        <w:tab w:pos="8366" w:val="right" w:leader="dot"/>
      </w:tabs>
      <w:spacing w:before="80" w:after="40"/>
      <w:ind w:left="634"/>
    </w:pPr>
    <w:rPr>
      <w:rFonts w:ascii="Calibri" w:hAnsi="Calibri"/>
      <w:b w:val="0"/>
      <w:color w:val="374151"/>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image" Target="media/image1.png"/><Relationship Id="rId13" Type="http://schemas.openxmlformats.org/officeDocument/2006/relationships/image" Target="media/image2.png"/><Relationship Id="rId14"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