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5220"/>
        <w:gridCol w:w="5220"/>
      </w:tblGrid>
      <w:tr>
        <w:tc>
          <w:tcPr>
            <w:tcW w:type="dxa" w:w="5220"/>
            <w:tcMar>
              <w:top w:w="0" w:type="dxa"/>
              <w:bottom w:w="0" w:type="dxa"/>
              <w:left w:w="0" w:type="dxa"/>
              <w:right w:w="0" w:type="dxa"/>
            </w:tcMar>
          </w:tcPr>
          <w:p>
            <w:pPr>
              <w:jc w:val="left"/>
            </w:pPr>
            <w:r>
              <w:rPr>
                <w:rFonts w:ascii="Times New Roman" w:hAnsi="Times New Roman"/>
                <w:b/>
                <w:color w:val="0A0A0A"/>
                <w:sz w:val="24"/>
                <w:u w:val="none"/>
              </w:rPr>
              <w:t>NPCI</w:t>
            </w:r>
          </w:p>
        </w:tc>
        <w:tc>
          <w:tcPr>
            <w:tcW w:type="dxa" w:w="5220"/>
            <w:tcMar>
              <w:top w:w="0" w:type="dxa"/>
              <w:bottom w:w="0" w:type="dxa"/>
              <w:left w:w="0" w:type="dxa"/>
              <w:right w:w="0" w:type="dxa"/>
            </w:tcMar>
          </w:tcPr>
          <w:p/>
        </w:tc>
      </w:tr>
    </w:tbl>
    <w:p>
      <w:pPr>
        <w:pBdr>
          <w:bottom w:val="single" w:sz="6" w:space="1" w:color="1E40AF"/>
        </w:pBdr>
        <w:spacing w:before="4" w:after="4"/>
      </w:pPr>
    </w:p>
    <w:tbl>
      <w:tblPr>
        <w:tblW w:type="auto" w:w="0"/>
        <w:jc w:val="center"/>
        <w:tblLayout w:type="autofit"/>
        <w:tblLook w:firstColumn="1" w:firstRow="1" w:lastColumn="0" w:lastRow="0" w:noHBand="0" w:noVBand="1" w:val="04A0"/>
      </w:tblPr>
      <w:tblGrid>
        <w:gridCol w:w="5220"/>
        <w:gridCol w:w="5220"/>
      </w:tblGrid>
      <w:tr>
        <w:tc>
          <w:tcPr>
            <w:tcW w:type="dxa" w:w="5220"/>
            <w:tcMar>
              <w:top w:w="0" w:type="dxa"/>
              <w:bottom w:w="0" w:type="dxa"/>
              <w:left w:w="0" w:type="dxa"/>
              <w:right w:w="0" w:type="dxa"/>
            </w:tcMar>
          </w:tcPr>
          <w:p>
            <w:pPr>
              <w:jc w:val="left"/>
            </w:pPr>
            <w:r>
              <w:rPr>
                <w:rFonts w:ascii="Times New Roman" w:hAnsi="Times New Roman"/>
                <w:b/>
                <w:color w:val="0A0A0A"/>
                <w:sz w:val="22"/>
                <w:u w:val="none"/>
              </w:rPr>
              <w:t>NPCI/UPI/OC No. 001/2026-2027</w:t>
            </w:r>
          </w:p>
        </w:tc>
        <w:tc>
          <w:tcPr>
            <w:tcW w:type="dxa" w:w="5220"/>
            <w:tcMar>
              <w:top w:w="0" w:type="dxa"/>
              <w:bottom w:w="0" w:type="dxa"/>
              <w:left w:w="0" w:type="dxa"/>
              <w:right w:w="0" w:type="dxa"/>
            </w:tcMar>
          </w:tcPr>
          <w:p>
            <w:pPr>
              <w:jc w:val="right"/>
            </w:pPr>
            <w:r>
              <w:rPr>
                <w:rFonts w:ascii="Times New Roman" w:hAnsi="Times New Roman"/>
                <w:b/>
                <w:color w:val="0A0A0A"/>
                <w:sz w:val="22"/>
                <w:u w:val="none"/>
              </w:rPr>
              <w:t>16 April 2026</w:t>
            </w:r>
          </w:p>
        </w:tc>
      </w:tr>
    </w:tbl>
    <w:p/>
    <w:p>
      <w:r>
        <w:rPr>
          <w:rFonts w:ascii="Times New Roman" w:hAnsi="Times New Roman"/>
          <w:b/>
          <w:color w:val="0A0A0A"/>
          <w:sz w:val="22"/>
          <w:u w:val="none"/>
        </w:rPr>
        <w:t>To,</w:t>
      </w:r>
    </w:p>
    <w:p>
      <w:r>
        <w:rPr>
          <w:rFonts w:ascii="Times New Roman" w:hAnsi="Times New Roman"/>
          <w:b/>
          <w:color w:val="0A0A0A"/>
          <w:sz w:val="22"/>
          <w:u w:val="none"/>
        </w:rPr>
        <w:t>All Member Banks, PSP Banks and UPI Applications</w:t>
      </w:r>
    </w:p>
    <w:p>
      <w:pPr>
        <w:spacing w:before="8" w:after="10"/>
      </w:pPr>
      <w:r>
        <w:rPr>
          <w:rFonts w:ascii="Times New Roman" w:hAnsi="Times New Roman"/>
          <w:b/>
          <w:color w:val="0A0A0A"/>
          <w:sz w:val="22"/>
          <w:u w:val="single"/>
        </w:rPr>
        <w:t>Subject: Product: Product Feature Product Canvas Summary: ## Feature The new feature we're introducing is a way to automatically split and</w:t>
      </w:r>
    </w:p>
    <w:p>
      <w:pPr>
        <w:spacing w:before="0" w:after="8"/>
      </w:pPr>
      <w:r>
        <w:rPr>
          <w:rFonts w:ascii="Times New Roman" w:hAnsi="Times New Roman"/>
          <w:b w:val="0"/>
          <w:color w:val="0A0A0A"/>
          <w:sz w:val="22"/>
          <w:u w:val="none"/>
        </w:rPr>
        <w:t>The current UPI ecosystem facilitates seamless digital transactions through a robust network of PSPs, Issuer Banks, and Beneficiary Banks, coordinated via the NPCI Switch. However, there is a growing need to enhance transaction security and user authentication, particularly in biometric-enabled environments. This gap in security measures poses a risk of unauthorized access and potential fraud, which necessitates a more secure authentication mechanism. In response, the issuer has decided to implement enhanced biometric authentication protocols, leveraging the Common Library's latest capabilities to ensure secure and efficient transaction processing.</w:t>
      </w:r>
    </w:p>
    <w:p>
      <w:pPr>
        <w:spacing w:before="0" w:after="8"/>
      </w:pPr>
      <w:r>
        <w:rPr>
          <w:rFonts w:ascii="Times New Roman" w:hAnsi="Times New Roman"/>
          <w:b w:val="0"/>
          <w:color w:val="0A0A0A"/>
          <w:sz w:val="22"/>
          <w:u w:val="none"/>
        </w:rPr>
        <w:t>NPCI has decided to implement biometric authentication for UPI transactions to enhance security and user convenience.</w:t>
      </w:r>
    </w:p>
    <w:p>
      <w:pPr>
        <w:spacing w:before="0" w:after="8"/>
      </w:pPr>
      <w:r>
        <w:rPr>
          <w:rFonts w:ascii="Times New Roman" w:hAnsi="Times New Roman"/>
          <w:b w:val="0"/>
          <w:color w:val="0A0A0A"/>
          <w:sz w:val="22"/>
          <w:u w:val="none"/>
        </w:rPr>
        <w:t>The technical artifacts affected by this decision include the REQ_PAY and RESP_PAY message types, which will now support biometric authentication data.</w:t>
      </w:r>
    </w:p>
    <w:p>
      <w:pPr>
        <w:spacing w:before="0" w:after="8"/>
      </w:pPr>
      <w:r>
        <w:rPr>
          <w:rFonts w:ascii="Times New Roman" w:hAnsi="Times New Roman"/>
          <w:b w:val="0"/>
          <w:color w:val="0A0A0A"/>
          <w:sz w:val="22"/>
          <w:u w:val="none"/>
        </w:rPr>
        <w:t>The Common Library (CL) will be updated to version 2.36 to enable biometric support, and this update will be mandatory for all UPI Apps integrating with the NPCI Switch.</w:t>
      </w:r>
    </w:p>
    <w:p>
      <w:pPr>
        <w:spacing w:before="0" w:after="8"/>
      </w:pPr>
      <w:r>
        <w:rPr>
          <w:rFonts w:ascii="Times New Roman" w:hAnsi="Times New Roman"/>
          <w:b w:val="0"/>
          <w:color w:val="0A0A0A"/>
          <w:sz w:val="22"/>
          <w:u w:val="none"/>
        </w:rPr>
        <w:t>The CRED Block structure will be modified to include biometric data, and the refCategory field will be set to '05' for transactions authenticated biometrically.</w:t>
      </w:r>
    </w:p>
    <w:p>
      <w:pPr>
        <w:spacing w:before="0" w:after="8"/>
      </w:pPr>
      <w:r>
        <w:rPr>
          <w:rFonts w:ascii="Times New Roman" w:hAnsi="Times New Roman"/>
          <w:b w:val="0"/>
          <w:color w:val="0A0A0A"/>
          <w:sz w:val="22"/>
          <w:u w:val="none"/>
        </w:rPr>
        <w:t>PSP Banks must ensure that their UPI Apps are updated to integrate the latest version of the Common Library (CL) to support biometric authentication. This includes verifying that the clVersion field indicates compatibility with biometric features.</w:t>
      </w:r>
    </w:p>
    <w:p>
      <w:pPr>
        <w:spacing w:before="0" w:after="8"/>
      </w:pPr>
      <w:r>
        <w:rPr>
          <w:rFonts w:ascii="Times New Roman" w:hAnsi="Times New Roman"/>
          <w:b w:val="0"/>
          <w:color w:val="0A0A0A"/>
          <w:sz w:val="22"/>
          <w:u w:val="none"/>
        </w:rPr>
        <w:t>Issuer/Remitter Banks must implement necessary backend changes to support the processing of biometric-authenticated transactions, designated by refCategory='05'. This includes ensuring that their systems can handle the new transaction types without disruption.</w:t>
      </w:r>
    </w:p>
    <w:p>
      <w:pPr>
        <w:spacing w:before="0" w:after="8"/>
      </w:pPr>
      <w:r>
        <w:rPr>
          <w:rFonts w:ascii="Times New Roman" w:hAnsi="Times New Roman"/>
          <w:b w:val="0"/>
          <w:color w:val="0A0A0A"/>
          <w:sz w:val="22"/>
          <w:u w:val="none"/>
        </w:rPr>
        <w:t>Beneficiary/Payee Banks must update their systems to recognize and process credits from biometric-authenticated transactions. They are advised to monitor transaction statuses closely to handle any DEEMED status transactions promptly.</w:t>
      </w:r>
    </w:p>
    <w:p>
      <w:pPr>
        <w:spacing w:before="0" w:after="8"/>
      </w:pPr>
      <w:r>
        <w:rPr>
          <w:rFonts w:ascii="Times New Roman" w:hAnsi="Times New Roman"/>
          <w:b w:val="0"/>
          <w:color w:val="0A0A0A"/>
          <w:sz w:val="22"/>
          <w:u w:val="none"/>
        </w:rPr>
        <w:t>UPI App developers must incorporate the TEE or Secure Enclave for storing sensitive authentication data securely. They must also implement nonce-based challenges to prevent replay attacks.</w:t>
      </w:r>
    </w:p>
    <w:p>
      <w:pPr>
        <w:spacing w:before="0" w:after="8"/>
      </w:pPr>
      <w:r>
        <w:rPr>
          <w:rFonts w:ascii="Times New Roman" w:hAnsi="Times New Roman"/>
          <w:b w:val="0"/>
          <w:color w:val="0A0A0A"/>
          <w:sz w:val="22"/>
          <w:u w:val="none"/>
        </w:rPr>
        <w:t>Please disseminate the information contained herein to the officials concerned.</w:t>
      </w:r>
    </w:p>
    <w:p/>
    <w:p>
      <w:pPr>
        <w:jc w:val="left"/>
      </w:pPr>
      <w:r>
        <w:rPr>
          <w:rFonts w:ascii="Times New Roman" w:hAnsi="Times New Roman"/>
          <w:b w:val="0"/>
          <w:color w:val="0A0A0A"/>
          <w:sz w:val="22"/>
          <w:u w:val="none"/>
        </w:rPr>
        <w:t>Yours Sincerely,</w:t>
      </w:r>
    </w:p>
    <w:p>
      <w:r>
        <w:rPr>
          <w:rFonts w:ascii="Times New Roman" w:hAnsi="Times New Roman"/>
          <w:b w:val="0"/>
          <w:color w:val="0A0A0A"/>
          <w:sz w:val="22"/>
          <w:u w:val="none"/>
        </w:rPr>
        <w:t>SD/-</w:t>
      </w:r>
    </w:p>
    <w:p>
      <w:r>
        <w:rPr>
          <w:rFonts w:ascii="Times New Roman" w:hAnsi="Times New Roman"/>
          <w:b/>
          <w:color w:val="0A0A0A"/>
          <w:sz w:val="22"/>
          <w:u w:val="none"/>
        </w:rPr>
        <w:t>Chief Product Officer</w:t>
      </w:r>
    </w:p>
    <w:p>
      <w:r>
        <w:rPr>
          <w:rFonts w:ascii="Times New Roman" w:hAnsi="Times New Roman"/>
          <w:b w:val="0"/>
          <w:color w:val="0A0A0A"/>
          <w:sz w:val="22"/>
          <w:u w:val="none"/>
        </w:rPr>
        <w:t>Chief Product Officer</w:t>
      </w:r>
    </w:p>
    <w:p>
      <w:r>
        <w:rPr>
          <w:rFonts w:ascii="Times New Roman" w:hAnsi="Times New Roman"/>
          <w:b w:val="0"/>
          <w:color w:val="0A0A0A"/>
          <w:sz w:val="22"/>
          <w:u w:val="none"/>
        </w:rPr>
        <w:t>Product Management</w:t>
      </w:r>
    </w:p>
    <w:sectPr w:rsidR="00FC693F" w:rsidRPr="0006063C" w:rsidSect="00034616">
      <w:footerReference w:type="default" r:id="rId9"/>
      <w:pgSz w:w="12240" w:h="15840"/>
      <w:pgMar w:top="720" w:right="720" w:bottom="720"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374151"/>
        <w:sz w:val="16"/>
      </w:rPr>
      <w:t>1001A, The Capital, Bandra Kurla Complex, Bandra (East), Mumbai – 400051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