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20"/>
        <w:gridCol w:w="5220"/>
      </w:tblGrid>
      <w:tr>
        <w:tc>
          <w:tcPr>
            <w:tcW w:type="dxa" w:w="522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A0A0A"/>
                <w:sz w:val="24"/>
                <w:u w:val="none"/>
              </w:rPr>
              <w:t>NPCI</w:t>
            </w:r>
          </w:p>
        </w:tc>
        <w:tc>
          <w:tcPr>
            <w:tcW w:type="dxa" w:w="5220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</w:tr>
    </w:tbl>
    <w:p>
      <w:pPr>
        <w:pBdr>
          <w:bottom w:val="single" w:sz="6" w:space="1" w:color="1E40AF"/>
        </w:pBdr>
        <w:spacing w:before="4" w:after="4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20"/>
        <w:gridCol w:w="5220"/>
      </w:tblGrid>
      <w:tr>
        <w:tc>
          <w:tcPr>
            <w:tcW w:type="dxa" w:w="522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A0A0A"/>
                <w:sz w:val="22"/>
                <w:u w:val="none"/>
              </w:rPr>
              <w:t>NPCI/UPI/OC No. 001/2026-2027</w:t>
            </w:r>
          </w:p>
        </w:tc>
        <w:tc>
          <w:tcPr>
            <w:tcW w:type="dxa" w:w="522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0A0A0A"/>
                <w:sz w:val="22"/>
                <w:u w:val="none"/>
              </w:rPr>
              <w:t>15 April 2026</w:t>
            </w:r>
          </w:p>
        </w:tc>
      </w:tr>
    </w:tbl>
    <w:p/>
    <w:p>
      <w:r>
        <w:rPr>
          <w:rFonts w:ascii="Times New Roman" w:hAnsi="Times New Roman"/>
          <w:b/>
          <w:color w:val="0A0A0A"/>
          <w:sz w:val="22"/>
          <w:u w:val="none"/>
        </w:rPr>
        <w:t>To,</w:t>
      </w:r>
    </w:p>
    <w:p>
      <w:r>
        <w:rPr>
          <w:rFonts w:ascii="Times New Roman" w:hAnsi="Times New Roman"/>
          <w:b/>
          <w:color w:val="0A0A0A"/>
          <w:sz w:val="22"/>
          <w:u w:val="none"/>
        </w:rPr>
        <w:t>All Member Banks, PSP Banks and UPI Applications</w:t>
      </w:r>
    </w:p>
    <w:p>
      <w:pPr>
        <w:spacing w:before="8" w:after="10"/>
      </w:pPr>
      <w:r>
        <w:rPr>
          <w:rFonts w:ascii="Times New Roman" w:hAnsi="Times New Roman"/>
          <w:b/>
          <w:color w:val="0A0A0A"/>
          <w:sz w:val="22"/>
          <w:u w:val="single"/>
        </w:rPr>
        <w:t>Subject: Product: Product Feature Product Canvas Summary: ## Feature This feature allows you to pay your electricity bills using smart devices</w:t>
      </w:r>
    </w:p>
    <w:p>
      <w:pPr>
        <w:spacing w:before="0" w:after="8"/>
      </w:pPr>
      <w:r>
        <w:rPr>
          <w:rFonts w:ascii="Times New Roman" w:hAnsi="Times New Roman"/>
          <w:b w:val="0"/>
          <w:color w:val="0A0A0A"/>
          <w:sz w:val="22"/>
          <w:u w:val="none"/>
        </w:rPr>
        <w:t>Currently, the UPI ecosystem facilitates seamless digital payments through a standardized message protocol, enabling interoperability among various banks and payment service providers. However, there is a growing demand for enhanced security measures, particularly in biometric-authenticated transactions, to prevent unauthorized access and ensure user trust. To address this gap, the issuer has decided to mandate the implementation of a nonce-based challenge mechanism for all biometric transactions, designated by refCategory='05', to strengthen cryptographic replay-attack prevention. This directive aims to enhance the security framework of UPI transactions, ensuring compliance with evolving security standards and user expectations.</w:t>
      </w:r>
    </w:p>
    <w:p>
      <w:pPr>
        <w:spacing w:before="0" w:after="8"/>
      </w:pPr>
      <w:r>
        <w:rPr>
          <w:rFonts w:ascii="Times New Roman" w:hAnsi="Times New Roman"/>
          <w:b w:val="0"/>
          <w:color w:val="0A0A0A"/>
          <w:sz w:val="22"/>
          <w:u w:val="none"/>
        </w:rPr>
        <w:t>NPCI has decided to enhance the UPI transaction flow by integrating biometric authentication as a mandatory feature for all high-value transactions.</w:t>
      </w:r>
    </w:p>
    <w:p>
      <w:pPr>
        <w:spacing w:before="0" w:after="8"/>
      </w:pPr>
      <w:r>
        <w:rPr>
          <w:rFonts w:ascii="Times New Roman" w:hAnsi="Times New Roman"/>
          <w:b w:val="0"/>
          <w:color w:val="0A0A0A"/>
          <w:sz w:val="22"/>
          <w:u w:val="none"/>
        </w:rPr>
        <w:t>The technical artifacts affected by this decision include the REQ_PAY and RESP_PAY message types, which will now require additional biometric data fields.</w:t>
      </w:r>
    </w:p>
    <w:p>
      <w:pPr>
        <w:spacing w:before="0" w:after="8"/>
      </w:pPr>
      <w:r>
        <w:rPr>
          <w:rFonts w:ascii="Times New Roman" w:hAnsi="Times New Roman"/>
          <w:b w:val="0"/>
          <w:color w:val="0A0A0A"/>
          <w:sz w:val="22"/>
          <w:u w:val="none"/>
        </w:rPr>
        <w:t>The Common Library (CL) must be updated to support the new clVersion indicating biometric capability, and the CRED Block will incorporate encrypted biometric credentials.</w:t>
      </w:r>
    </w:p>
    <w:p>
      <w:pPr>
        <w:spacing w:before="0" w:after="8"/>
      </w:pPr>
      <w:r>
        <w:rPr>
          <w:rFonts w:ascii="Times New Roman" w:hAnsi="Times New Roman"/>
          <w:b w:val="0"/>
          <w:color w:val="0A0A0A"/>
          <w:sz w:val="22"/>
          <w:u w:val="none"/>
        </w:rPr>
        <w:t>The REQ_AUTH_DETAILS and RESP_AUTH_DETAILS APIs will be modified to handle the exchange of biometric authentication data between the PSP and the NPCI Switch.</w:t>
      </w:r>
    </w:p>
    <w:p>
      <w:pPr>
        <w:spacing w:before="0" w:after="8"/>
      </w:pPr>
      <w:r>
        <w:rPr>
          <w:rFonts w:ascii="Times New Roman" w:hAnsi="Times New Roman"/>
          <w:b w:val="0"/>
          <w:color w:val="0A0A0A"/>
          <w:sz w:val="22"/>
          <w:u w:val="none"/>
        </w:rPr>
        <w:t>This section covers Participant Impact &amp; Obligations.</w:t>
      </w:r>
    </w:p>
    <w:p>
      <w:pPr>
        <w:spacing w:before="0" w:after="8"/>
      </w:pPr>
      <w:r>
        <w:rPr>
          <w:rFonts w:ascii="Times New Roman" w:hAnsi="Times New Roman"/>
          <w:b w:val="0"/>
          <w:color w:val="0A0A0A"/>
          <w:sz w:val="22"/>
          <w:u w:val="none"/>
        </w:rPr>
        <w:t>Details to be elaborated further.</w:t>
      </w:r>
    </w:p>
    <w:p>
      <w:pPr>
        <w:spacing w:before="0" w:after="8"/>
      </w:pPr>
      <w:r>
        <w:rPr>
          <w:rFonts w:ascii="Times New Roman" w:hAnsi="Times New Roman"/>
          <w:b w:val="0"/>
          <w:color w:val="0A0A0A"/>
          <w:sz w:val="22"/>
          <w:u w:val="none"/>
        </w:rPr>
        <w:t>Please disseminate the information contained herein to the officials concerned.</w:t>
      </w:r>
    </w:p>
    <w:p/>
    <w:p>
      <w:pPr>
        <w:jc w:val="left"/>
      </w:pPr>
      <w:r>
        <w:rPr>
          <w:rFonts w:ascii="Times New Roman" w:hAnsi="Times New Roman"/>
          <w:b w:val="0"/>
          <w:color w:val="0A0A0A"/>
          <w:sz w:val="22"/>
          <w:u w:val="none"/>
        </w:rPr>
        <w:t>Yours Sincerely,</w:t>
      </w:r>
    </w:p>
    <w:p>
      <w:r>
        <w:rPr>
          <w:rFonts w:ascii="Times New Roman" w:hAnsi="Times New Roman"/>
          <w:b w:val="0"/>
          <w:color w:val="0A0A0A"/>
          <w:sz w:val="22"/>
          <w:u w:val="none"/>
        </w:rPr>
        <w:t>SD/-</w:t>
      </w:r>
    </w:p>
    <w:p>
      <w:r>
        <w:rPr>
          <w:rFonts w:ascii="Times New Roman" w:hAnsi="Times New Roman"/>
          <w:b/>
          <w:color w:val="0A0A0A"/>
          <w:sz w:val="22"/>
          <w:u w:val="none"/>
        </w:rPr>
        <w:t>Chief Product Officer</w:t>
      </w:r>
    </w:p>
    <w:p>
      <w:r>
        <w:rPr>
          <w:rFonts w:ascii="Times New Roman" w:hAnsi="Times New Roman"/>
          <w:b w:val="0"/>
          <w:color w:val="0A0A0A"/>
          <w:sz w:val="22"/>
          <w:u w:val="none"/>
        </w:rPr>
        <w:t>Chief Product Officer</w:t>
      </w:r>
    </w:p>
    <w:p>
      <w:r>
        <w:rPr>
          <w:rFonts w:ascii="Times New Roman" w:hAnsi="Times New Roman"/>
          <w:b w:val="0"/>
          <w:color w:val="0A0A0A"/>
          <w:sz w:val="22"/>
          <w:u w:val="none"/>
        </w:rPr>
        <w:t>Product Management</w:t>
      </w:r>
    </w:p>
    <w:sectPr w:rsidR="00FC693F" w:rsidRPr="0006063C" w:rsidSect="00034616">
      <w:footerReference w:type="default" r:id="rId9"/>
      <w:pgSz w:w="12240" w:h="15840"/>
      <w:pgMar w:top="720" w:right="720" w:bottom="720" w:left="108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374151"/>
        <w:sz w:val="16"/>
      </w:rPr>
      <w:t>1001A, The Capital, Bandra Kurla Complex, Bandra (East), Mumbai – 400051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A0A0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E40A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E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keepNext/>
      <w:spacing w:after="160"/>
      <w:outlineLvl w:val="9"/>
    </w:pPr>
    <w:rPr>
      <w:rFonts w:ascii="Calibri" w:hAnsi="Calibri"/>
      <w:b/>
      <w:color w:val="1E40AF"/>
      <w:sz w:val="36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">
    <w:name w:val="TOC 1"/>
    <w:pPr>
      <w:tabs>
        <w:tab w:pos="9000" w:val="right" w:leader="dot"/>
      </w:tabs>
      <w:spacing w:before="200" w:after="80"/>
      <w:ind w:left="0"/>
    </w:pPr>
    <w:rPr>
      <w:rFonts w:ascii="Calibri" w:hAnsi="Calibri"/>
      <w:b/>
      <w:color w:val="1E40AF"/>
      <w:sz w:val="24"/>
    </w:rPr>
  </w:style>
  <w:style w:type="paragraph" w:customStyle="1" w:styleId="TOC2">
    <w:name w:val="TOC 2"/>
    <w:pPr>
      <w:tabs>
        <w:tab w:pos="8683" w:val="right" w:leader="dot"/>
      </w:tabs>
      <w:spacing w:before="120" w:after="40"/>
      <w:ind w:left="317"/>
    </w:pPr>
    <w:rPr>
      <w:rFonts w:ascii="Calibri" w:hAnsi="Calibri"/>
      <w:b w:val="0"/>
      <w:color w:val="1E3A5F"/>
      <w:sz w:val="22"/>
    </w:rPr>
  </w:style>
  <w:style w:type="paragraph" w:customStyle="1" w:styleId="TOC3">
    <w:name w:val="TOC 3"/>
    <w:pPr>
      <w:tabs>
        <w:tab w:pos="8366" w:val="right" w:leader="dot"/>
      </w:tabs>
      <w:spacing w:before="80" w:after="40"/>
      <w:ind w:left="634"/>
    </w:pPr>
    <w:rPr>
      <w:rFonts w:ascii="Calibri" w:hAnsi="Calibri"/>
      <w:b w:val="0"/>
      <w:color w:val="374151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