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15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This feature allows you to pay your electricity bills using smart devices</w:t>
      </w:r>
    </w:p>
    <w:p>
      <w:pPr>
        <w:spacing w:before="0" w:after="8"/>
      </w:pPr>
      <w:r>
        <w:rPr>
          <w:rFonts w:ascii="Times New Roman" w:hAnsi="Times New Roman"/>
          <w:b w:val="0"/>
          <w:color w:val="0A0A0A"/>
          <w:sz w:val="22"/>
          <w:u w:val="none"/>
        </w:rPr>
        <w:t>The current UPI ecosystem facilitates seamless digital transactions through a robust network of PSPs, Issuer Banks, and Beneficiary Banks, leveraging standardized message types such as REQ_PAY and RESP_PAY. Despite the efficiency of these processes, there is a growing demand for enhanced security measures, particularly in the context of biometric authentication. This demand highlights a gap in the existing framework, where biometric transaction authentication is not uniformly supported across all UPI applications and devices. In response, the issuer has decided to mandate the integration of biometric authentication capabilities, specifically through the implementation of the refCategory='05' designation and clVersion updates, to ensure consistent security enhancements across the ecosystem.</w:t>
      </w:r>
    </w:p>
    <w:p>
      <w:pPr>
        <w:spacing w:before="0" w:after="8"/>
      </w:pPr>
      <w:r>
        <w:rPr>
          <w:rFonts w:ascii="Times New Roman" w:hAnsi="Times New Roman"/>
          <w:b w:val="0"/>
          <w:color w:val="0A0A0A"/>
          <w:sz w:val="22"/>
          <w:u w:val="none"/>
        </w:rPr>
        <w:t>NPCI has decided to implement biometric authentication for UPI transactions to enhance security and user convenience.</w:t>
      </w:r>
    </w:p>
    <w:p>
      <w:pPr>
        <w:spacing w:before="0" w:after="8"/>
      </w:pPr>
      <w:r>
        <w:rPr>
          <w:rFonts w:ascii="Times New Roman" w:hAnsi="Times New Roman"/>
          <w:b w:val="0"/>
          <w:color w:val="0A0A0A"/>
          <w:sz w:val="22"/>
          <w:u w:val="none"/>
        </w:rPr>
        <w:t>The technical artifacts affected by this decision include the Common Library (CL), specifically the clVersion field, which will now support biometric authentication starting from version 2.36.</w:t>
      </w:r>
    </w:p>
    <w:p>
      <w:pPr>
        <w:spacing w:before="0" w:after="8"/>
      </w:pPr>
      <w:r>
        <w:rPr>
          <w:rFonts w:ascii="Times New Roman" w:hAnsi="Times New Roman"/>
          <w:b w:val="0"/>
          <w:color w:val="0A0A0A"/>
          <w:sz w:val="22"/>
          <w:u w:val="none"/>
        </w:rPr>
        <w:t>The REQ_PAY and RESP_PAY message types will be updated to include a new refCategory='05' to designate transactions authenticated via biometrics.</w:t>
      </w:r>
    </w:p>
    <w:p>
      <w:pPr>
        <w:spacing w:before="0" w:after="8"/>
      </w:pPr>
      <w:r>
        <w:rPr>
          <w:rFonts w:ascii="Times New Roman" w:hAnsi="Times New Roman"/>
          <w:b w:val="0"/>
          <w:color w:val="0A0A0A"/>
          <w:sz w:val="22"/>
          <w:u w:val="none"/>
        </w:rPr>
        <w:t>The CRED Block will be modified to accommodate encrypted biometric data, ensuring secure transmission from the UPI App to the NPCI Switch.</w:t>
      </w:r>
    </w:p>
    <w:p>
      <w:pPr>
        <w:spacing w:before="0" w:after="8"/>
      </w:pPr>
      <w:r>
        <w:rPr>
          <w:rFonts w:ascii="Times New Roman" w:hAnsi="Times New Roman"/>
          <w:b w:val="0"/>
          <w:color w:val="0A0A0A"/>
          <w:sz w:val="22"/>
          <w:u w:val="none"/>
        </w:rPr>
        <w:t>PSP Banks must ensure that their UPI Apps are updated to integrate the latest version of the Common Library (CL) for secure authentication processes. This includes supporting the clVersion field for biometric transactions.</w:t>
      </w:r>
    </w:p>
    <w:p>
      <w:pPr>
        <w:spacing w:before="0" w:after="8"/>
      </w:pPr>
      <w:r>
        <w:rPr>
          <w:rFonts w:ascii="Times New Roman" w:hAnsi="Times New Roman"/>
          <w:b w:val="0"/>
          <w:color w:val="0A0A0A"/>
          <w:sz w:val="22"/>
          <w:u w:val="none"/>
        </w:rPr>
        <w:t>Issuer/Remitter Banks must implement the necessary system changes to process REQ_PAY and RESP_PAY messages efficiently, ensuring timely authentication and debit operations. Compliance with the standard UPI dispute process is mandatory unless otherwise specified.</w:t>
      </w:r>
    </w:p>
    <w:p>
      <w:pPr>
        <w:spacing w:before="0" w:after="8"/>
      </w:pPr>
      <w:r>
        <w:rPr>
          <w:rFonts w:ascii="Times New Roman" w:hAnsi="Times New Roman"/>
          <w:b w:val="0"/>
          <w:color w:val="0A0A0A"/>
          <w:sz w:val="22"/>
          <w:u w:val="none"/>
        </w:rPr>
        <w:t>Beneficiary/Payee Banks must ensure their systems are capable of receiving and processing credit requests from the NPCI Switch. They must also send RESP_PAY confirmations promptly to facilitate transaction completion.</w:t>
      </w:r>
    </w:p>
    <w:p>
      <w:pPr>
        <w:spacing w:before="0" w:after="8"/>
      </w:pPr>
      <w:r>
        <w:rPr>
          <w:rFonts w:ascii="Times New Roman" w:hAnsi="Times New Roman"/>
          <w:b w:val="0"/>
          <w:color w:val="0A0A0A"/>
          <w:sz w:val="22"/>
          <w:u w:val="none"/>
        </w:rPr>
        <w:t>UPI App providers are advised to conduct thorough testing of the updated CL integration to ensure seamless user experience and robust security. They must also ensure that the CRED Block is correctly encrypted and transmitted to the NPCI.</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