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the Feature Does:** This new feature allows users to automatically split</w:t>
      </w:r>
    </w:p>
    <w:p>
      <w:pPr>
        <w:spacing w:before="0" w:after="8"/>
      </w:pPr>
      <w:r>
        <w:rPr>
          <w:rFonts w:ascii="Times New Roman" w:hAnsi="Times New Roman"/>
          <w:b w:val="0"/>
          <w:color w:val="0A0A0A"/>
          <w:sz w:val="22"/>
          <w:u w:val="none"/>
        </w:rPr>
        <w:t>The current UPI ecosystem effectively supports a wide range of transaction types, including payments, mandates, and balance enquiries, through a standardized set of message types and secure authentication mechanisms. However, there is a growing need to enhance the security and efficiency of biometric-authenticated transactions, as indicated by the increasing adoption of biometric devices and the associated clVersion updates. To address this gap, the issuer has decided to implement a directive that mandates the use of refCategory='05' for all biometric-authenticated transactions, ensuring consistent processing and dispute management across the ecosystem.</w:t>
      </w:r>
    </w:p>
    <w:p>
      <w:pPr>
        <w:spacing w:before="0" w:after="8"/>
      </w:pPr>
      <w:r>
        <w:rPr>
          <w:rFonts w:ascii="Times New Roman" w:hAnsi="Times New Roman"/>
          <w:b w:val="0"/>
          <w:color w:val="0A0A0A"/>
          <w:sz w:val="22"/>
          <w:u w:val="none"/>
        </w:rPr>
        <w:t>NPCI has decided to enhance the UPI transaction flow by integrating biometric authentication for payment authorization.</w:t>
      </w:r>
    </w:p>
    <w:p>
      <w:pPr>
        <w:spacing w:before="0" w:after="8"/>
      </w:pPr>
      <w:r>
        <w:rPr>
          <w:rFonts w:ascii="Times New Roman" w:hAnsi="Times New Roman"/>
          <w:b w:val="0"/>
          <w:color w:val="0A0A0A"/>
          <w:sz w:val="22"/>
          <w:u w:val="none"/>
        </w:rPr>
        <w:t>The technical artifacts affected by this decision include the REQ_PAY and RESP_PAY message types, which will now support biometric data encapsulation.</w:t>
      </w:r>
    </w:p>
    <w:p>
      <w:pPr>
        <w:spacing w:before="0" w:after="8"/>
      </w:pPr>
      <w:r>
        <w:rPr>
          <w:rFonts w:ascii="Times New Roman" w:hAnsi="Times New Roman"/>
          <w:b w:val="0"/>
          <w:color w:val="0A0A0A"/>
          <w:sz w:val="22"/>
          <w:u w:val="none"/>
        </w:rPr>
        <w:t>The Common Library (CL) will be updated to a new version, clVersion 2.36, to incorporate biometric authentication capabilities.</w:t>
      </w:r>
    </w:p>
    <w:p>
      <w:pPr>
        <w:spacing w:before="0" w:after="8"/>
      </w:pPr>
      <w:r>
        <w:rPr>
          <w:rFonts w:ascii="Times New Roman" w:hAnsi="Times New Roman"/>
          <w:b w:val="0"/>
          <w:color w:val="0A0A0A"/>
          <w:sz w:val="22"/>
          <w:u w:val="none"/>
        </w:rPr>
        <w:t>Additionally, the CRED Block will be modified to securely transmit biometric credentials, ensuring compliance with security standards.</w:t>
      </w:r>
    </w:p>
    <w:p>
      <w:pPr>
        <w:spacing w:before="0" w:after="8"/>
      </w:pPr>
      <w:r>
        <w:rPr>
          <w:rFonts w:ascii="Times New Roman" w:hAnsi="Times New Roman"/>
          <w:b w:val="0"/>
          <w:color w:val="0A0A0A"/>
          <w:sz w:val="22"/>
          <w:u w:val="none"/>
        </w:rPr>
        <w:t>PSP Banks must ensure that their UPI Apps are updated to integrate the latest version of the Common Library (CL) provided by NPCI. This integration is mandatory to support the new biometric authentication features.</w:t>
      </w:r>
    </w:p>
    <w:p>
      <w:pPr>
        <w:spacing w:before="0" w:after="8"/>
      </w:pPr>
      <w:r>
        <w:rPr>
          <w:rFonts w:ascii="Times New Roman" w:hAnsi="Times New Roman"/>
          <w:b w:val="0"/>
          <w:color w:val="0A0A0A"/>
          <w:sz w:val="22"/>
          <w:u w:val="none"/>
        </w:rPr>
        <w:t>Issuer/Remitter Banks must implement necessary backend changes to process REQ_PAY messages with the new refCategory='05' for biometric-authenticated transactions. Compliance with this requirement is critical to ensure seamless transaction processing.</w:t>
      </w:r>
    </w:p>
    <w:p>
      <w:pPr>
        <w:spacing w:before="0" w:after="8"/>
      </w:pPr>
      <w:r>
        <w:rPr>
          <w:rFonts w:ascii="Times New Roman" w:hAnsi="Times New Roman"/>
          <w:b w:val="0"/>
          <w:color w:val="0A0A0A"/>
          <w:sz w:val="22"/>
          <w:u w:val="none"/>
        </w:rPr>
        <w:t>Beneficiary/Payee Banks are advised to monitor transaction statuses closely for any DEEMED status transactions. They must ensure timely credit confirmation to avoid disputes and maintain transaction integrity.</w:t>
      </w:r>
    </w:p>
    <w:p>
      <w:pPr>
        <w:spacing w:before="0" w:after="8"/>
      </w:pPr>
      <w:r>
        <w:rPr>
          <w:rFonts w:ascii="Times New Roman" w:hAnsi="Times New Roman"/>
          <w:b w:val="0"/>
          <w:color w:val="0A0A0A"/>
          <w:sz w:val="22"/>
          <w:u w:val="none"/>
        </w:rPr>
        <w:t>UPI App developers must incorporate secure storage mechanisms such as TEE or Secure Enclave to handle sensitive authentication data. This is essential to comply with NPCI's security guidelines and protect user information.</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