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the Feature Does:** This new feature allows users to automatically split</w:t>
      </w:r>
    </w:p>
    <w:p>
      <w:pPr>
        <w:spacing w:before="0" w:after="8"/>
      </w:pPr>
      <w:r>
        <w:rPr>
          <w:rFonts w:ascii="Times New Roman" w:hAnsi="Times New Roman"/>
          <w:b w:val="0"/>
          <w:color w:val="0A0A0A"/>
          <w:sz w:val="22"/>
          <w:u w:val="none"/>
        </w:rPr>
        <w:t>The current UPI ecosystem facilitates seamless digital transactions through a well-established network of PSP Banks, Issuer Banks, and Beneficiary Banks, all coordinated by the NPCI Switch. However, the increasing demand for enhanced security and user convenience has highlighted a gap in the biometric authentication support across UPI applications. This gap presents an opportunity to strengthen transaction security by integrating biometric authentication, which is currently underutilized despite its potential to significantly reduce fraud. In response, the issuer has decided to mandate the implementation of biometric authentication capabilities in UPI Apps, ensuring compliance with the latest security standards and enhancing user trust in digital payment systems.</w:t>
      </w:r>
    </w:p>
    <w:p>
      <w:pPr>
        <w:spacing w:before="0" w:after="8"/>
      </w:pPr>
      <w:r>
        <w:rPr>
          <w:rFonts w:ascii="Times New Roman" w:hAnsi="Times New Roman"/>
          <w:b w:val="0"/>
          <w:color w:val="0A0A0A"/>
          <w:sz w:val="22"/>
          <w:u w:val="none"/>
        </w:rPr>
        <w:t>NPCI has decided to enhance the UPI system by introducing biometric authentication for transaction authorization.</w:t>
      </w:r>
    </w:p>
    <w:p>
      <w:pPr>
        <w:spacing w:before="0" w:after="8"/>
      </w:pPr>
      <w:r>
        <w:rPr>
          <w:rFonts w:ascii="Times New Roman" w:hAnsi="Times New Roman"/>
          <w:b w:val="0"/>
          <w:color w:val="0A0A0A"/>
          <w:sz w:val="22"/>
          <w:u w:val="none"/>
        </w:rPr>
        <w:t>The technical artifacts affected by this decision include the REQ_PAY and RESP_PAY message types, which will now support biometric authentication data.</w:t>
      </w:r>
    </w:p>
    <w:p>
      <w:pPr>
        <w:spacing w:before="0" w:after="8"/>
      </w:pPr>
      <w:r>
        <w:rPr>
          <w:rFonts w:ascii="Times New Roman" w:hAnsi="Times New Roman"/>
          <w:b w:val="0"/>
          <w:color w:val="0A0A0A"/>
          <w:sz w:val="22"/>
          <w:u w:val="none"/>
        </w:rPr>
        <w:t>The Common Library (CL) will be updated to version 2.36 to incorporate biometric support, and the clVersion field will reflect this change in the ListAccPvd schema.</w:t>
      </w:r>
    </w:p>
    <w:p>
      <w:pPr>
        <w:spacing w:before="0" w:after="8"/>
      </w:pPr>
      <w:r>
        <w:rPr>
          <w:rFonts w:ascii="Times New Roman" w:hAnsi="Times New Roman"/>
          <w:b w:val="0"/>
          <w:color w:val="0A0A0A"/>
          <w:sz w:val="22"/>
          <w:u w:val="none"/>
        </w:rPr>
        <w:t>The CRED Block will be modified to include a new field for biometric data, specifically for transactions with refCategory='05'.</w:t>
      </w:r>
    </w:p>
    <w:p>
      <w:pPr>
        <w:spacing w:before="0" w:after="8"/>
      </w:pPr>
      <w:r>
        <w:rPr>
          <w:rFonts w:ascii="Times New Roman" w:hAnsi="Times New Roman"/>
          <w:b w:val="0"/>
          <w:color w:val="0A0A0A"/>
          <w:sz w:val="22"/>
          <w:u w:val="none"/>
        </w:rPr>
        <w:t>PSP Banks must ensure that their UPI Apps are updated to integrate the latest version of the Common Library (CL) as specified by NPCI. This update is mandatory to support the enhanced security features and biometric authentication capabilities.</w:t>
      </w:r>
    </w:p>
    <w:p>
      <w:pPr>
        <w:spacing w:before="0" w:after="8"/>
      </w:pPr>
      <w:r>
        <w:rPr>
          <w:rFonts w:ascii="Times New Roman" w:hAnsi="Times New Roman"/>
          <w:b w:val="0"/>
          <w:color w:val="0A0A0A"/>
          <w:sz w:val="22"/>
          <w:u w:val="none"/>
        </w:rPr>
        <w:t>Issuer/Remitter Banks must implement the necessary backend changes to support the processing of REQ_PAY messages that include biometric authentication data. These banks are also required to update their systems to handle transactions with refCategory='05' and ensure compliance with NPCI's security standards.</w:t>
      </w:r>
    </w:p>
    <w:p>
      <w:pPr>
        <w:spacing w:before="0" w:after="8"/>
      </w:pPr>
      <w:r>
        <w:rPr>
          <w:rFonts w:ascii="Times New Roman" w:hAnsi="Times New Roman"/>
          <w:b w:val="0"/>
          <w:color w:val="0A0A0A"/>
          <w:sz w:val="22"/>
          <w:u w:val="none"/>
        </w:rPr>
        <w:t>Beneficiary/Payee Banks must verify and process credit transactions originating from biometric-authenticated REQ_PAY messages. They must also ensure that their systems can handle DEEMED status transactions and provide timely updates to the NPCI Switch.</w:t>
      </w:r>
    </w:p>
    <w:p>
      <w:pPr>
        <w:spacing w:before="0" w:after="8"/>
      </w:pPr>
      <w:r>
        <w:rPr>
          <w:rFonts w:ascii="Times New Roman" w:hAnsi="Times New Roman"/>
          <w:b w:val="0"/>
          <w:color w:val="0A0A0A"/>
          <w:sz w:val="22"/>
          <w:u w:val="none"/>
        </w:rPr>
        <w:t>UPI App developers are advised to conduct thorough testing of the biometric authentication flow within their applications. This includes ensuring that the TEE or Secure Enclave is correctly utilized for storing sensitive authentication data.</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