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autofit"/>
        <w:tblLook w:firstColumn="1" w:firstRow="1" w:lastColumn="0" w:lastRow="0" w:noHBand="0" w:noVBand="1" w:val="04A0"/>
      </w:tblPr>
      <w:tblGrid>
        <w:gridCol w:w="5220"/>
        <w:gridCol w:w="5220"/>
      </w:tblGrid>
      <w:tr>
        <w:tc>
          <w:tcPr>
            <w:tcW w:type="dxa" w:w="5220"/>
            <w:tcMar>
              <w:top w:w="0" w:type="dxa"/>
              <w:bottom w:w="0" w:type="dxa"/>
              <w:left w:w="0" w:type="dxa"/>
              <w:right w:w="0" w:type="dxa"/>
            </w:tcMar>
          </w:tcPr>
          <w:p>
            <w:pPr>
              <w:jc w:val="left"/>
            </w:pPr>
            <w:r>
              <w:rPr>
                <w:rFonts w:ascii="Times New Roman" w:hAnsi="Times New Roman"/>
                <w:b/>
                <w:color w:val="0A0A0A"/>
                <w:sz w:val="24"/>
                <w:u w:val="none"/>
              </w:rPr>
              <w:t>NPCI</w:t>
            </w:r>
          </w:p>
        </w:tc>
        <w:tc>
          <w:tcPr>
            <w:tcW w:type="dxa" w:w="5220"/>
            <w:tcMar>
              <w:top w:w="0" w:type="dxa"/>
              <w:bottom w:w="0" w:type="dxa"/>
              <w:left w:w="0" w:type="dxa"/>
              <w:right w:w="0" w:type="dxa"/>
            </w:tcMar>
          </w:tcPr>
          <w:p/>
        </w:tc>
      </w:tr>
    </w:tbl>
    <w:p>
      <w:pPr>
        <w:pBdr>
          <w:bottom w:val="single" w:sz="6" w:space="1" w:color="1E40AF"/>
        </w:pBdr>
        <w:spacing w:before="4" w:after="4"/>
      </w:pPr>
    </w:p>
    <w:tbl>
      <w:tblPr>
        <w:tblW w:type="auto" w:w="0"/>
        <w:jc w:val="center"/>
        <w:tblLayout w:type="autofit"/>
        <w:tblLook w:firstColumn="1" w:firstRow="1" w:lastColumn="0" w:lastRow="0" w:noHBand="0" w:noVBand="1" w:val="04A0"/>
      </w:tblPr>
      <w:tblGrid>
        <w:gridCol w:w="5220"/>
        <w:gridCol w:w="5220"/>
      </w:tblGrid>
      <w:tr>
        <w:tc>
          <w:tcPr>
            <w:tcW w:type="dxa" w:w="5220"/>
            <w:tcMar>
              <w:top w:w="0" w:type="dxa"/>
              <w:bottom w:w="0" w:type="dxa"/>
              <w:left w:w="0" w:type="dxa"/>
              <w:right w:w="0" w:type="dxa"/>
            </w:tcMar>
          </w:tcPr>
          <w:p>
            <w:pPr>
              <w:jc w:val="left"/>
            </w:pPr>
            <w:r>
              <w:rPr>
                <w:rFonts w:ascii="Times New Roman" w:hAnsi="Times New Roman"/>
                <w:b/>
                <w:color w:val="0A0A0A"/>
                <w:sz w:val="22"/>
                <w:u w:val="none"/>
              </w:rPr>
              <w:t>NPCI/UPI/OC No. 001/2026-2027</w:t>
            </w:r>
          </w:p>
        </w:tc>
        <w:tc>
          <w:tcPr>
            <w:tcW w:type="dxa" w:w="5220"/>
            <w:tcMar>
              <w:top w:w="0" w:type="dxa"/>
              <w:bottom w:w="0" w:type="dxa"/>
              <w:left w:w="0" w:type="dxa"/>
              <w:right w:w="0" w:type="dxa"/>
            </w:tcMar>
          </w:tcPr>
          <w:p>
            <w:pPr>
              <w:jc w:val="right"/>
            </w:pPr>
            <w:r>
              <w:rPr>
                <w:rFonts w:ascii="Times New Roman" w:hAnsi="Times New Roman"/>
                <w:b/>
                <w:color w:val="0A0A0A"/>
                <w:sz w:val="22"/>
                <w:u w:val="none"/>
              </w:rPr>
              <w:t>16 April 2026</w:t>
            </w:r>
          </w:p>
        </w:tc>
      </w:tr>
    </w:tbl>
    <w:p/>
    <w:p>
      <w:r>
        <w:rPr>
          <w:rFonts w:ascii="Times New Roman" w:hAnsi="Times New Roman"/>
          <w:b/>
          <w:color w:val="0A0A0A"/>
          <w:sz w:val="22"/>
          <w:u w:val="none"/>
        </w:rPr>
        <w:t>To,</w:t>
      </w:r>
    </w:p>
    <w:p>
      <w:r>
        <w:rPr>
          <w:rFonts w:ascii="Times New Roman" w:hAnsi="Times New Roman"/>
          <w:b/>
          <w:color w:val="0A0A0A"/>
          <w:sz w:val="22"/>
          <w:u w:val="none"/>
        </w:rPr>
        <w:t>All Member Banks, PSP Banks and UPI Applications</w:t>
      </w:r>
    </w:p>
    <w:p>
      <w:pPr>
        <w:spacing w:before="8" w:after="10"/>
      </w:pPr>
      <w:r>
        <w:rPr>
          <w:rFonts w:ascii="Times New Roman" w:hAnsi="Times New Roman"/>
          <w:b/>
          <w:color w:val="0A0A0A"/>
          <w:sz w:val="22"/>
          <w:u w:val="single"/>
        </w:rPr>
        <w:t>Subject: Product: Product Feature Product Canvas Summary: ## Feature The UPI AutoSplit feature is designed to simplify how people manage shared</w:t>
      </w:r>
    </w:p>
    <w:p>
      <w:pPr>
        <w:spacing w:before="0" w:after="8"/>
      </w:pPr>
      <w:r>
        <w:rPr>
          <w:rFonts w:ascii="Times New Roman" w:hAnsi="Times New Roman"/>
          <w:b w:val="0"/>
          <w:color w:val="0A0A0A"/>
          <w:sz w:val="22"/>
          <w:u w:val="none"/>
        </w:rPr>
        <w:t>The current UPI ecosystem efficiently handles transactions through a series of well-defined message types and flows, such as REQ_PAY and RESP_PAY, ensuring secure and rapid payment processing. However, the increasing demand for enhanced security and user convenience has highlighted a gap in the integration of biometric authentication across all transaction types. To address this limitation, NPCI has decided to mandate the implementation of biometric authentication for specific transaction categories, designated by refCategory='05', to enhance security measures and streamline user experience. This directive aims to ensure that all ecosystem participants align their systems and processes to support this enhanced security feature, thereby maintaining the integrity and trust of the UPI platform.</w:t>
      </w:r>
    </w:p>
    <w:p>
      <w:pPr>
        <w:spacing w:before="0" w:after="8"/>
      </w:pPr>
      <w:r>
        <w:rPr>
          <w:rFonts w:ascii="Times New Roman" w:hAnsi="Times New Roman"/>
          <w:b w:val="0"/>
          <w:color w:val="0A0A0A"/>
          <w:sz w:val="22"/>
          <w:u w:val="none"/>
        </w:rPr>
        <w:t>The National Payments Corporation of India (NPCI) has decided to enhance the UPI transaction flow by incorporating biometric authentication for REQ_PAY messages.</w:t>
      </w:r>
    </w:p>
    <w:p>
      <w:pPr>
        <w:spacing w:before="0" w:after="8"/>
      </w:pPr>
      <w:r>
        <w:rPr>
          <w:rFonts w:ascii="Times New Roman" w:hAnsi="Times New Roman"/>
          <w:b w:val="0"/>
          <w:color w:val="0A0A0A"/>
          <w:sz w:val="22"/>
          <w:u w:val="none"/>
        </w:rPr>
        <w:t>This decision affects the Common Library (CL) used in UPI Apps, specifically requiring updates to support clVersion 2.36, which includes biometric authentication capabilities.</w:t>
      </w:r>
    </w:p>
    <w:p>
      <w:pPr>
        <w:spacing w:before="0" w:after="8"/>
      </w:pPr>
      <w:r>
        <w:rPr>
          <w:rFonts w:ascii="Times New Roman" w:hAnsi="Times New Roman"/>
          <w:b w:val="0"/>
          <w:color w:val="0A0A0A"/>
          <w:sz w:val="22"/>
          <w:u w:val="none"/>
        </w:rPr>
        <w:t>The REQ_AUTH_DETAILS and RESP_AUTH_DETAILS APIs will be modified to accommodate the transmission of biometric data, with specific changes to the schema to include refCategory='05'.</w:t>
      </w:r>
    </w:p>
    <w:p>
      <w:pPr>
        <w:spacing w:before="0" w:after="8"/>
      </w:pPr>
      <w:r>
        <w:rPr>
          <w:rFonts w:ascii="Times New Roman" w:hAnsi="Times New Roman"/>
          <w:b w:val="0"/>
          <w:color w:val="0A0A0A"/>
          <w:sz w:val="22"/>
          <w:u w:val="none"/>
        </w:rPr>
        <w:t>The NPCI Switch will be updated to handle the new biometric authentication flow, ensuring secure routing and processing of REQ_PAY messages with biometric credentials.</w:t>
      </w:r>
    </w:p>
    <w:p>
      <w:pPr>
        <w:spacing w:before="0" w:after="8"/>
      </w:pPr>
      <w:r>
        <w:rPr>
          <w:rFonts w:ascii="Times New Roman" w:hAnsi="Times New Roman"/>
          <w:b w:val="0"/>
          <w:color w:val="0A0A0A"/>
          <w:sz w:val="22"/>
          <w:u w:val="none"/>
        </w:rPr>
        <w:t>PSP Banks must ensure that their UPI applications are updated to integrate the latest version of the Common Library (CL) as specified by NPCI. This update is mandatory to support new biometric authentication features and to maintain compliance with security standards.</w:t>
      </w:r>
    </w:p>
    <w:p>
      <w:pPr>
        <w:spacing w:before="0" w:after="8"/>
      </w:pPr>
      <w:r>
        <w:rPr>
          <w:rFonts w:ascii="Times New Roman" w:hAnsi="Times New Roman"/>
          <w:b w:val="0"/>
          <w:color w:val="0A0A0A"/>
          <w:sz w:val="22"/>
          <w:u w:val="none"/>
        </w:rPr>
        <w:t>Issuer/Remitter Banks must implement the necessary backend changes to process REQ_PAY messages that include biometric authentication data. Banks are required to validate and process these requests in accordance with NPCI's security guidelines.</w:t>
      </w:r>
    </w:p>
    <w:p>
      <w:pPr>
        <w:spacing w:before="0" w:after="8"/>
      </w:pPr>
      <w:r>
        <w:rPr>
          <w:rFonts w:ascii="Times New Roman" w:hAnsi="Times New Roman"/>
          <w:b w:val="0"/>
          <w:color w:val="0A0A0A"/>
          <w:sz w:val="22"/>
          <w:u w:val="none"/>
        </w:rPr>
        <w:t>Beneficiary/Payee Banks must update their systems to handle RESP_PAY messages that may include biometric authentication indicators. This is essential to ensure proper crediting of funds and to support the new transaction types.</w:t>
      </w:r>
    </w:p>
    <w:p>
      <w:pPr>
        <w:spacing w:before="0" w:after="8"/>
      </w:pPr>
      <w:r>
        <w:rPr>
          <w:rFonts w:ascii="Times New Roman" w:hAnsi="Times New Roman"/>
          <w:b w:val="0"/>
          <w:color w:val="0A0A0A"/>
          <w:sz w:val="22"/>
          <w:u w:val="none"/>
        </w:rPr>
        <w:t>UPI App developers are advised to conduct thorough testing of the updated CL integration, focusing on biometric authentication flows. This testing should include both functional and security aspects to ensure a seamless user experience and compliance with NPCI requirements.</w:t>
      </w:r>
    </w:p>
    <w:p>
      <w:pPr>
        <w:spacing w:before="0" w:after="8"/>
      </w:pPr>
      <w:r>
        <w:rPr>
          <w:rFonts w:ascii="Times New Roman" w:hAnsi="Times New Roman"/>
          <w:b w:val="0"/>
          <w:color w:val="0A0A0A"/>
          <w:sz w:val="22"/>
          <w:u w:val="none"/>
        </w:rPr>
        <w:t>Please disseminate the information contained herein to the officials concerned.</w:t>
      </w:r>
    </w:p>
    <w:p/>
    <w:p>
      <w:pPr>
        <w:jc w:val="left"/>
      </w:pPr>
      <w:r>
        <w:rPr>
          <w:rFonts w:ascii="Times New Roman" w:hAnsi="Times New Roman"/>
          <w:b w:val="0"/>
          <w:color w:val="0A0A0A"/>
          <w:sz w:val="22"/>
          <w:u w:val="none"/>
        </w:rPr>
        <w:t>Yours Sincerely,</w:t>
      </w:r>
    </w:p>
    <w:p>
      <w:r>
        <w:rPr>
          <w:rFonts w:ascii="Times New Roman" w:hAnsi="Times New Roman"/>
          <w:b w:val="0"/>
          <w:color w:val="0A0A0A"/>
          <w:sz w:val="22"/>
          <w:u w:val="none"/>
        </w:rPr>
        <w:t>SD/-</w:t>
      </w:r>
    </w:p>
    <w:p>
      <w:r>
        <w:rPr>
          <w:rFonts w:ascii="Times New Roman" w:hAnsi="Times New Roman"/>
          <w:b/>
          <w:color w:val="0A0A0A"/>
          <w:sz w:val="22"/>
          <w:u w:val="none"/>
        </w:rPr>
        <w:t>Chief Product Officer</w:t>
      </w:r>
    </w:p>
    <w:p>
      <w:r>
        <w:rPr>
          <w:rFonts w:ascii="Times New Roman" w:hAnsi="Times New Roman"/>
          <w:b w:val="0"/>
          <w:color w:val="0A0A0A"/>
          <w:sz w:val="22"/>
          <w:u w:val="none"/>
        </w:rPr>
        <w:t>Chief Product Officer</w:t>
      </w:r>
    </w:p>
    <w:p>
      <w:r>
        <w:rPr>
          <w:rFonts w:ascii="Times New Roman" w:hAnsi="Times New Roman"/>
          <w:b w:val="0"/>
          <w:color w:val="0A0A0A"/>
          <w:sz w:val="22"/>
          <w:u w:val="none"/>
        </w:rPr>
        <w:t>Product Management</w:t>
      </w:r>
    </w:p>
    <w:sectPr w:rsidR="00FC693F" w:rsidRPr="0006063C" w:rsidSect="00034616">
      <w:footerReference w:type="default" r:id="rId9"/>
      <w:pgSz w:w="12240" w:h="15840"/>
      <w:pgMar w:top="720" w:right="720" w:bottom="720" w:left="108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374151"/>
        <w:sz w:val="16"/>
      </w:rPr>
      <w:t>1001A, The Capital, Bandra Kurla Complex, Bandra (East), Mumbai – 400051</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0A0A0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Calibri" w:hAnsi="Calibri"/>
      <w:b/>
      <w:bCs/>
      <w:color w:val="1E40AF"/>
      <w:sz w:val="36"/>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Calibri" w:hAnsi="Calibri"/>
      <w:b/>
      <w:bCs/>
      <w:color w:val="1E3A5F"/>
      <w:sz w:val="28"/>
      <w:szCs w:val="26"/>
    </w:rPr>
  </w:style>
  <w:style w:type="paragraph" w:styleId="Heading3">
    <w:name w:val="heading 3"/>
    <w:basedOn w:val="Normal"/>
    <w:next w:val="Normal"/>
    <w:link w:val="Heading3Char"/>
    <w:uiPriority w:val="9"/>
    <w:unhideWhenUsed/>
    <w:qFormat/>
    <w:rsid w:val="00FC693F"/>
    <w:pPr>
      <w:keepNext/>
      <w:keepLines/>
      <w:spacing w:before="240" w:after="80"/>
      <w:outlineLvl w:val="2"/>
    </w:pPr>
    <w:rPr>
      <w:rFonts w:asciiTheme="majorHAnsi" w:eastAsiaTheme="majorEastAsia" w:hAnsiTheme="majorHAnsi" w:cstheme="majorBidi" w:ascii="Calibri" w:hAnsi="Calibri"/>
      <w:b/>
      <w:bCs/>
      <w:color w:val="37415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keepNext/>
      <w:spacing w:after="160"/>
      <w:outlineLvl w:val="9"/>
    </w:pPr>
    <w:rPr>
      <w:rFonts w:ascii="Calibri" w:hAnsi="Calibri"/>
      <w:b/>
      <w:color w:val="1E40AF"/>
      <w:sz w:val="36"/>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OC1">
    <w:name w:val="TOC 1"/>
    <w:pPr>
      <w:tabs>
        <w:tab w:pos="9000" w:val="right" w:leader="dot"/>
      </w:tabs>
      <w:spacing w:before="200" w:after="80"/>
      <w:ind w:left="0"/>
    </w:pPr>
    <w:rPr>
      <w:rFonts w:ascii="Calibri" w:hAnsi="Calibri"/>
      <w:b/>
      <w:color w:val="1E40AF"/>
      <w:sz w:val="24"/>
    </w:rPr>
  </w:style>
  <w:style w:type="paragraph" w:customStyle="1" w:styleId="TOC2">
    <w:name w:val="TOC 2"/>
    <w:pPr>
      <w:tabs>
        <w:tab w:pos="8683" w:val="right" w:leader="dot"/>
      </w:tabs>
      <w:spacing w:before="120" w:after="40"/>
      <w:ind w:left="317"/>
    </w:pPr>
    <w:rPr>
      <w:rFonts w:ascii="Calibri" w:hAnsi="Calibri"/>
      <w:b w:val="0"/>
      <w:color w:val="1E3A5F"/>
      <w:sz w:val="22"/>
    </w:rPr>
  </w:style>
  <w:style w:type="paragraph" w:customStyle="1" w:styleId="TOC3">
    <w:name w:val="TOC 3"/>
    <w:pPr>
      <w:tabs>
        <w:tab w:pos="8366" w:val="right" w:leader="dot"/>
      </w:tabs>
      <w:spacing w:before="80" w:after="40"/>
      <w:ind w:left="634"/>
    </w:pPr>
    <w:rPr>
      <w:rFonts w:ascii="Calibri" w:hAnsi="Calibri"/>
      <w:b w:val="0"/>
      <w:color w:val="374151"/>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