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simplify how people manage shared</w:t>
      </w:r>
    </w:p>
    <w:p>
      <w:pPr>
        <w:spacing w:before="0" w:after="8"/>
      </w:pPr>
      <w:r>
        <w:rPr>
          <w:rFonts w:ascii="Times New Roman" w:hAnsi="Times New Roman"/>
          <w:b w:val="0"/>
          <w:color w:val="0A0A0A"/>
          <w:sz w:val="22"/>
          <w:u w:val="none"/>
        </w:rPr>
        <w:t>The current UPI ecosystem facilitates seamless digital transactions through various message types, including REQ_PAY and RESP_PAY, which enable secure payment processing. However, there exists a gap in the efficient handling of biometric-authenticated transactions, which are becoming increasingly prevalent due to enhanced security requirements. This gap is primarily due to the lack of standardized support for biometric authentication across all UPI participants, leading to inconsistent transaction experiences. In response, the issuer has decided to implement a directive mandating the adoption of a standardized clVersion that supports biometric authentication, ensuring uniformity and security across the UPI network.</w:t>
      </w:r>
    </w:p>
    <w:p>
      <w:pPr>
        <w:spacing w:before="0" w:after="8"/>
      </w:pPr>
      <w:r>
        <w:rPr>
          <w:rFonts w:ascii="Times New Roman" w:hAnsi="Times New Roman"/>
          <w:b w:val="0"/>
          <w:color w:val="0A0A0A"/>
          <w:sz w:val="22"/>
          <w:u w:val="none"/>
        </w:rPr>
        <w:t>NPCI has decided to enhance the UPI transaction flow to incorporate biometric authentication for increased security and user convenience.</w:t>
      </w:r>
    </w:p>
    <w:p>
      <w:pPr>
        <w:spacing w:before="0" w:after="8"/>
      </w:pPr>
      <w:r>
        <w:rPr>
          <w:rFonts w:ascii="Times New Roman" w:hAnsi="Times New Roman"/>
          <w:b w:val="0"/>
          <w:color w:val="0A0A0A"/>
          <w:sz w:val="22"/>
          <w:u w:val="none"/>
        </w:rPr>
        <w:t>The affected technical artifacts include the REQ_PAY and RESP_PAY message types, which will now support biometric data encapsulation.</w:t>
      </w:r>
    </w:p>
    <w:p>
      <w:pPr>
        <w:spacing w:before="0" w:after="8"/>
      </w:pPr>
      <w:r>
        <w:rPr>
          <w:rFonts w:ascii="Times New Roman" w:hAnsi="Times New Roman"/>
          <w:b w:val="0"/>
          <w:color w:val="0A0A0A"/>
          <w:sz w:val="22"/>
          <w:u w:val="none"/>
        </w:rPr>
        <w:t>The Common Library (CL) will be updated to version 2.36 to enable biometric authentication capabilities, including the handling of refCategory='05'.</w:t>
      </w:r>
    </w:p>
    <w:p>
      <w:pPr>
        <w:spacing w:before="0" w:after="8"/>
      </w:pPr>
      <w:r>
        <w:rPr>
          <w:rFonts w:ascii="Times New Roman" w:hAnsi="Times New Roman"/>
          <w:b w:val="0"/>
          <w:color w:val="0A0A0A"/>
          <w:sz w:val="22"/>
          <w:u w:val="none"/>
        </w:rPr>
        <w:t>The UPI App's integration with the TEE/Secure Enclave will be modified to securely store and process biometric credentials.</w:t>
      </w:r>
    </w:p>
    <w:p>
      <w:pPr>
        <w:spacing w:before="0" w:after="8"/>
      </w:pPr>
      <w:r>
        <w:rPr>
          <w:rFonts w:ascii="Times New Roman" w:hAnsi="Times New Roman"/>
          <w:b w:val="0"/>
          <w:color w:val="0A0A0A"/>
          <w:sz w:val="22"/>
          <w:u w:val="none"/>
        </w:rPr>
        <w:t>PSP Banks must ensure that their UPI Apps are updated to integrate the latest version of the Common Library (CL) as specified by NPCI. This update is mandatory to support new authentication features and security protocols.</w:t>
      </w:r>
    </w:p>
    <w:p>
      <w:pPr>
        <w:spacing w:before="0" w:after="8"/>
      </w:pPr>
      <w:r>
        <w:rPr>
          <w:rFonts w:ascii="Times New Roman" w:hAnsi="Times New Roman"/>
          <w:b w:val="0"/>
          <w:color w:val="0A0A0A"/>
          <w:sz w:val="22"/>
          <w:u w:val="none"/>
        </w:rPr>
        <w:t>Issuer/Remitter Banks must implement the necessary backend changes to process REQ_PAY and RESP_PAY messages in compliance with the updated specifications. This includes handling new transaction statuses and ensuring accurate transaction logging.</w:t>
      </w:r>
    </w:p>
    <w:p>
      <w:pPr>
        <w:spacing w:before="0" w:after="8"/>
      </w:pPr>
      <w:r>
        <w:rPr>
          <w:rFonts w:ascii="Times New Roman" w:hAnsi="Times New Roman"/>
          <w:b w:val="0"/>
          <w:color w:val="0A0A0A"/>
          <w:sz w:val="22"/>
          <w:u w:val="none"/>
        </w:rPr>
        <w:t>Beneficiary/Payee Banks must upgrade their systems to accommodate the revised credit processing flow. This includes managing DEEMED status transactions and ensuring timely credit confirmations to NPCI.</w:t>
      </w:r>
    </w:p>
    <w:p>
      <w:pPr>
        <w:spacing w:before="0" w:after="8"/>
      </w:pPr>
      <w:r>
        <w:rPr>
          <w:rFonts w:ascii="Times New Roman" w:hAnsi="Times New Roman"/>
          <w:b w:val="0"/>
          <w:color w:val="0A0A0A"/>
          <w:sz w:val="22"/>
          <w:u w:val="none"/>
        </w:rPr>
        <w:t>UPI App developers are advised to conduct thorough testing of the updated CL integration to ensure seamless user experience and compliance with security standards. This includes validating the encryption of the CRED Block and the handling of nonce-based challenges.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