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proposed feature is a unified rewards system for UPI transactions, designed</w:t>
      </w:r>
    </w:p>
    <w:p>
      <w:pPr>
        <w:spacing w:before="0" w:after="8"/>
      </w:pPr>
      <w:r>
        <w:rPr>
          <w:rFonts w:ascii="Times New Roman" w:hAnsi="Times New Roman"/>
          <w:b w:val="0"/>
          <w:color w:val="0A0A0A"/>
          <w:sz w:val="22"/>
          <w:u w:val="none"/>
        </w:rPr>
        <w:t>The UPI ecosystem presently supports multiple independent reward programs that are confined within individual PSP applications. This fragmentation prevents users from aggregating or transferring earned points, resulting in reduced perceived value and inconsistent user experience. The lack of a standardized mechanism also limits the ability of regulators to monitor reward-driven transaction patterns that could influence financial inclusion objectives. To address this gap, the Issuer Bank has resolved to mandate a unified rewards framework that aggregates reward accruals across all participating UPI applications into a single interoperable dashboard. The directive aims to enhance user engagement, promote portability of rewards, and align with national digital financial inclusion initiatives.</w:t>
      </w:r>
    </w:p>
    <w:p>
      <w:pPr>
        <w:spacing w:before="0" w:after="8"/>
      </w:pPr>
      <w:r>
        <w:rPr>
          <w:rFonts w:ascii="Times New Roman" w:hAnsi="Times New Roman"/>
          <w:b w:val="0"/>
          <w:color w:val="0A0A0A"/>
          <w:sz w:val="22"/>
          <w:u w:val="none"/>
        </w:rPr>
        <w:t>NPCI has decided to implement a unified rewards system for all UPI transactions. The decision mandates the creation of the Rewards Aggregation Service (RAS), the Rewards Dashboard API, and the RewardLedger schema. It also requires extensions to the REQ_PAY/RESP_PAY message formats to include a reward-segment field. The Common Library (CL) shall incorporate a Reward Module version 1.0.</w:t>
      </w:r>
    </w:p>
    <w:p>
      <w:pPr>
        <w:spacing w:before="0" w:after="8"/>
      </w:pPr>
      <w:r>
        <w:rPr>
          <w:rFonts w:ascii="Times New Roman" w:hAnsi="Times New Roman"/>
          <w:b w:val="0"/>
          <w:color w:val="0A0A0A"/>
          <w:sz w:val="22"/>
          <w:u w:val="none"/>
        </w:rPr>
        <w:t>The existing fragmented rewards architecture lacks a common data model, resulting in non-transferable points across PSPs. Engineering teams must integrate the RewardLedger schema into the NPCI Switch and update the transaction processing pipeline to persist reward entries. The Rewards Dashboard API must expose endpoints /v1/rewards/summary and /v1/rewards/redeem for PSP consumption.</w:t>
      </w:r>
    </w:p>
    <w:p>
      <w:pPr>
        <w:spacing w:before="0" w:after="8"/>
      </w:pPr>
      <w:r>
        <w:rPr>
          <w:rFonts w:ascii="Times New Roman" w:hAnsi="Times New Roman"/>
          <w:b w:val="0"/>
          <w:color w:val="0A0A0A"/>
          <w:sz w:val="22"/>
          <w:u w:val="none"/>
        </w:rPr>
        <w:t>All PSP Banks are required to adopt the Rewards Dashboard API for real-time reward accrual and redemption reporting. Issuer and Beneficiary Banks must support the reward-segment field in the debit and credit messages and must validate reward eligibility per the RewardLedger rules. UPI Apps must update their CL integration to invoke the Reward Module for PIN/biometric authentication and reward calculation.</w:t>
      </w:r>
    </w:p>
    <w:p>
      <w:pPr>
        <w:spacing w:before="0" w:after="8"/>
      </w:pPr>
      <w:r>
        <w:rPr>
          <w:rFonts w:ascii="Times New Roman" w:hAnsi="Times New Roman"/>
          <w:b w:val="0"/>
          <w:color w:val="0A0A0A"/>
          <w:sz w:val="22"/>
          <w:u w:val="none"/>
        </w:rPr>
        <w:t>Compliance teams must verify that the unified rewards implementation adheres to the existing dispute management framework and does not alter transaction settlement semantics. The complete rollout of the Rewards Aggregation Service, schema, and API shall be achieved by the end of Q4 2026. Post-deployment monitoring shall be performed using the Reward Notification schema to capture audit trails.</w:t>
      </w:r>
    </w:p>
    <w:p>
      <w:pPr>
        <w:spacing w:before="0" w:after="8"/>
      </w:pPr>
      <w:r>
        <w:rPr>
          <w:rFonts w:ascii="Times New Roman" w:hAnsi="Times New Roman"/>
          <w:b w:val="0"/>
          <w:color w:val="0A0A0A"/>
          <w:sz w:val="22"/>
          <w:u w:val="none"/>
        </w:rPr>
        <w:t>Current UPI PSPs deliver rewards only within their own applications, resulting in fragmented user balances. The unified rewards feature requires a common reward accrual interface. PSPs must integrate the NPCI-defined UnifiedRewards API, must transmit transaction identifiers and reward points in every REQ_PAY response, and must store reward ledger entries in a tamper-evident database.</w:t>
      </w:r>
    </w:p>
    <w:p>
      <w:pPr>
        <w:spacing w:before="0" w:after="8"/>
      </w:pPr>
      <w:r>
        <w:rPr>
          <w:rFonts w:ascii="Times New Roman" w:hAnsi="Times New Roman"/>
          <w:b w:val="0"/>
          <w:color w:val="0A0A0A"/>
          <w:sz w:val="22"/>
          <w:u w:val="none"/>
        </w:rPr>
        <w:t>Issuer and Remitter Banks presently do not expose reward eligibility metadata in transaction messages, creating a visibility gap for downstream participants. The new schema mandates inclusion of reward flags in the payment payload. Issuer/Remitter Banks must append the rewardEligibility flag and rewardAmount field to the CL message, must synchronize these fields with the central rewards ledger in real time, and are advised to maintain audit logs for each reward-related transaction.</w:t>
      </w:r>
    </w:p>
    <w:p>
      <w:pPr>
        <w:spacing w:before="0" w:after="8"/>
      </w:pPr>
      <w:r>
        <w:rPr>
          <w:rFonts w:ascii="Times New Roman" w:hAnsi="Times New Roman"/>
          <w:b w:val="0"/>
          <w:color w:val="0A0A0A"/>
          <w:sz w:val="22"/>
          <w:u w:val="none"/>
        </w:rPr>
        <w:t>Beneficiary and Payee Banks receive credit confirmations without any reward credit information, limiting the ability to credit earned points to the recipient. The unified system introduces reward credit notifications. Beneficiary/Payee Banks must accept rewardCredit notifications from NPCI, must update the beneficiary’s reward balance atomically with the credit transaction, and are advised to generate daily reconciliation reports for reward balances.</w:t>
      </w:r>
    </w:p>
    <w:p>
      <w:pPr>
        <w:spacing w:before="0" w:after="8"/>
      </w:pPr>
      <w:r>
        <w:rPr>
          <w:rFonts w:ascii="Times New Roman" w:hAnsi="Times New Roman"/>
          <w:b w:val="0"/>
          <w:color w:val="0A0A0A"/>
          <w:sz w:val="22"/>
          <w:u w:val="none"/>
        </w:rPr>
        <w:t>UPI Apps currently present isolated reward screens per app, causing user confusion. The feature introduces a single rewards dashboard accessible across all participating apps. UPI Apps must render the unified rewards dashboard by invoking the StandardRewards endpoint, must display real-time reward balances and redemption options, and are advised to obtain explicit user consent before sharing transaction data with the rewards repository.</w:t>
      </w:r>
    </w:p>
    <w:p>
      <w:pPr>
        <w:spacing w:before="0" w:after="8"/>
      </w:pPr>
      <w:r>
        <w:rPr>
          <w:rFonts w:ascii="Times New Roman" w:hAnsi="Times New Roman"/>
          <w:b w:val="0"/>
          <w:color w:val="0A0A0A"/>
          <w:sz w:val="22"/>
          <w:u w:val="none"/>
        </w:rPr>
        <w:t>NPCI presently provides only the core payment switch specifications, lacking a formal rewards data model. The feature mandates a standardized reward schema. NPCI must publish the UnifiedRewards data model in the CL version 2.40, must enforce schema validation on all inbound messages, and are advised to operate a compliance sandbox for participant testing.</w:t>
      </w:r>
    </w:p>
    <w:p>
      <w:pPr>
        <w:spacing w:before="0" w:after="8"/>
      </w:pPr>
      <w:r>
        <w:rPr>
          <w:rFonts w:ascii="Times New Roman" w:hAnsi="Times New Roman"/>
          <w:b w:val="0"/>
          <w:color w:val="0A0A0A"/>
          <w:sz w:val="22"/>
          <w:u w:val="none"/>
        </w:rPr>
        <w:t>Compliance teams currently focus on AML/KYC aspects, with limited oversight of reward data handling. The introduction of cross-app reward aggregation creates new privacy and consumer protection considerations. Compliance teams must verify that all reward data processing adheres to the Data Protection Rules, must conduct quarterly compliance audits of reward flows, and are advised to maintain detailed documentation of reward-related interfaces.</w:t>
      </w:r>
    </w:p>
    <w:p>
      <w:pPr>
        <w:spacing w:before="0" w:after="8"/>
      </w:pPr>
      <w:r>
        <w:rPr>
          <w:rFonts w:ascii="Times New Roman" w:hAnsi="Times New Roman"/>
          <w:b w:val="0"/>
          <w:color w:val="0A0A0A"/>
          <w:sz w:val="22"/>
          <w:u w:val="none"/>
        </w:rPr>
        <w:t>Please disseminate the information contained herein to the officials concerned. The dissemination must reach all product managers, engineering leads, and compliance officers associated with the Unified Rewards System feature.</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