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autofit"/>
        <w:tblLook w:firstColumn="1" w:firstRow="1" w:lastColumn="0" w:lastRow="0" w:noHBand="0" w:noVBand="1" w:val="04A0"/>
      </w:tblPr>
      <w:tblGrid>
        <w:gridCol w:w="5220"/>
        <w:gridCol w:w="5220"/>
      </w:tblGrid>
      <w:tr>
        <w:tc>
          <w:tcPr>
            <w:tcW w:type="dxa" w:w="5220"/>
            <w:tcMar>
              <w:top w:w="0" w:type="dxa"/>
              <w:bottom w:w="0" w:type="dxa"/>
              <w:left w:w="0" w:type="dxa"/>
              <w:right w:w="0" w:type="dxa"/>
            </w:tcMar>
          </w:tcPr>
          <w:p>
            <w:pPr>
              <w:jc w:val="left"/>
            </w:pPr>
            <w:r>
              <w:rPr>
                <w:rFonts w:ascii="Times New Roman" w:hAnsi="Times New Roman"/>
                <w:b/>
                <w:color w:val="0A0A0A"/>
                <w:sz w:val="24"/>
                <w:u w:val="none"/>
              </w:rPr>
              <w:t>NPCI</w:t>
            </w:r>
          </w:p>
        </w:tc>
        <w:tc>
          <w:tcPr>
            <w:tcW w:type="dxa" w:w="5220"/>
            <w:tcMar>
              <w:top w:w="0" w:type="dxa"/>
              <w:bottom w:w="0" w:type="dxa"/>
              <w:left w:w="0" w:type="dxa"/>
              <w:right w:w="0" w:type="dxa"/>
            </w:tcMar>
          </w:tcPr>
          <w:p/>
        </w:tc>
      </w:tr>
    </w:tbl>
    <w:p>
      <w:pPr>
        <w:pBdr>
          <w:bottom w:val="single" w:sz="6" w:space="1" w:color="1E40AF"/>
        </w:pBdr>
        <w:spacing w:before="4" w:after="4"/>
      </w:pPr>
    </w:p>
    <w:tbl>
      <w:tblPr>
        <w:tblW w:type="auto" w:w="0"/>
        <w:jc w:val="center"/>
        <w:tblLayout w:type="autofit"/>
        <w:tblLook w:firstColumn="1" w:firstRow="1" w:lastColumn="0" w:lastRow="0" w:noHBand="0" w:noVBand="1" w:val="04A0"/>
      </w:tblPr>
      <w:tblGrid>
        <w:gridCol w:w="5220"/>
        <w:gridCol w:w="5220"/>
      </w:tblGrid>
      <w:tr>
        <w:tc>
          <w:tcPr>
            <w:tcW w:type="dxa" w:w="5220"/>
            <w:tcMar>
              <w:top w:w="0" w:type="dxa"/>
              <w:bottom w:w="0" w:type="dxa"/>
              <w:left w:w="0" w:type="dxa"/>
              <w:right w:w="0" w:type="dxa"/>
            </w:tcMar>
          </w:tcPr>
          <w:p>
            <w:pPr>
              <w:jc w:val="left"/>
            </w:pPr>
            <w:r>
              <w:rPr>
                <w:rFonts w:ascii="Times New Roman" w:hAnsi="Times New Roman"/>
                <w:b/>
                <w:color w:val="0A0A0A"/>
                <w:sz w:val="22"/>
                <w:u w:val="none"/>
              </w:rPr>
              <w:t>NPCI/UPI/OC No. 001/2026-2027</w:t>
            </w:r>
          </w:p>
        </w:tc>
        <w:tc>
          <w:tcPr>
            <w:tcW w:type="dxa" w:w="5220"/>
            <w:tcMar>
              <w:top w:w="0" w:type="dxa"/>
              <w:bottom w:w="0" w:type="dxa"/>
              <w:left w:w="0" w:type="dxa"/>
              <w:right w:w="0" w:type="dxa"/>
            </w:tcMar>
          </w:tcPr>
          <w:p>
            <w:pPr>
              <w:jc w:val="right"/>
            </w:pPr>
            <w:r>
              <w:rPr>
                <w:rFonts w:ascii="Times New Roman" w:hAnsi="Times New Roman"/>
                <w:b/>
                <w:color w:val="0A0A0A"/>
                <w:sz w:val="22"/>
                <w:u w:val="none"/>
              </w:rPr>
              <w:t>17 April 2026</w:t>
            </w:r>
          </w:p>
        </w:tc>
      </w:tr>
    </w:tbl>
    <w:p/>
    <w:p>
      <w:r>
        <w:rPr>
          <w:rFonts w:ascii="Times New Roman" w:hAnsi="Times New Roman"/>
          <w:b/>
          <w:color w:val="0A0A0A"/>
          <w:sz w:val="22"/>
          <w:u w:val="none"/>
        </w:rPr>
        <w:t>To,</w:t>
      </w:r>
    </w:p>
    <w:p>
      <w:r>
        <w:rPr>
          <w:rFonts w:ascii="Times New Roman" w:hAnsi="Times New Roman"/>
          <w:b/>
          <w:color w:val="0A0A0A"/>
          <w:sz w:val="22"/>
          <w:u w:val="none"/>
        </w:rPr>
        <w:t>All Member Banks, PSP Banks and UPI Applications</w:t>
      </w:r>
    </w:p>
    <w:p>
      <w:pPr>
        <w:spacing w:before="8" w:after="10"/>
      </w:pPr>
      <w:r>
        <w:rPr>
          <w:rFonts w:ascii="Times New Roman" w:hAnsi="Times New Roman"/>
          <w:b/>
          <w:color w:val="0A0A0A"/>
          <w:sz w:val="22"/>
          <w:u w:val="single"/>
        </w:rPr>
        <w:t>Subject: Product: Product Feature Product Canvas Summary: ## Feature **What the Feature Does** The ultra‑short “undo” window gives a user a</w:t>
      </w:r>
    </w:p>
    <w:p>
      <w:pPr>
        <w:spacing w:before="0" w:after="8"/>
      </w:pPr>
      <w:r>
        <w:rPr>
          <w:rFonts w:ascii="Times New Roman" w:hAnsi="Times New Roman"/>
          <w:b w:val="0"/>
          <w:color w:val="0A0A0A"/>
          <w:sz w:val="22"/>
          <w:u w:val="none"/>
        </w:rPr>
        <w:t>The UPI ecosystem processes approximately 186 billion transactions annually, with an observed error rate of about 0.05 % that translates into tens of millions of erroneous payments each year. No provision currently exists to allow a payer to cancel a payment immediately after initiation, resulting in costly dispute handling and eroding consumer confidence. Introducing an ultra‑short “undo” window of 10‑15 seconds after the user taps “Pay” can curtail these errors, aligns with RBI’s enhanced consumer‑safeguard expectations, and has demonstrated a 30 % reduction in grievance tickets in pilot studies. Accordingly, the issuer directs all PSPs to implement the undo feature, including the UI countdown and the required API flag, to be deployed in the upcoming OTA release cycle.</w:t>
      </w:r>
    </w:p>
    <w:p>
      <w:pPr>
        <w:spacing w:before="0" w:after="8"/>
      </w:pPr>
      <w:r>
        <w:rPr>
          <w:rFonts w:ascii="Times New Roman" w:hAnsi="Times New Roman"/>
          <w:b w:val="0"/>
          <w:color w:val="0A0A0A"/>
          <w:sz w:val="22"/>
          <w:u w:val="none"/>
        </w:rPr>
        <w:t>NPCI has decided to introduce an ultra‑short “undo” window of 10‑15 seconds for all consumer‑initiated REQ_PAY transactions. The decision applies to the REQ_PAY API schema, the payer‑side UI module, the NPCI Switch routing logic, and the Common Library (CL) used by UPI Apps.</w:t>
      </w:r>
    </w:p>
    <w:p>
      <w:pPr>
        <w:spacing w:before="0" w:after="8"/>
      </w:pPr>
      <w:r>
        <w:rPr>
          <w:rFonts w:ascii="Times New Roman" w:hAnsi="Times New Roman"/>
          <w:b w:val="0"/>
          <w:color w:val="0A0A0A"/>
          <w:sz w:val="22"/>
          <w:u w:val="none"/>
        </w:rPr>
        <w:t>The decision mandates the addition of a Boolean field `undoEnabled` in the REQ_PAY request payload and a corresponding `undoStatus` element in the RESP_PAY response. The `undoEnabled` flag must be evaluated by the NPCI Switch before forwarding the request to the Issuer/Remitter Bank. If the flag is true and the user triggers an undo within the window, the Switch shall issue a REQ_CANCEL transaction and return a cancelled RESP_PAY.</w:t>
      </w:r>
    </w:p>
    <w:p>
      <w:pPr>
        <w:spacing w:before="0" w:after="8"/>
      </w:pPr>
      <w:r>
        <w:rPr>
          <w:rFonts w:ascii="Times New Roman" w:hAnsi="Times New Roman"/>
          <w:b w:val="0"/>
          <w:color w:val="0A0A0A"/>
          <w:sz w:val="22"/>
          <w:u w:val="none"/>
        </w:rPr>
        <w:t>The Common Library version 2.40 shall be updated to expose an `AbortPayment` method that the UPI App invokes when the Undo button is tapped. The UI module shall render a countdown timer and invoke `AbortPayment` while preserving the existing authentication flow.</w:t>
      </w:r>
    </w:p>
    <w:p>
      <w:pPr>
        <w:spacing w:before="0" w:after="8"/>
      </w:pPr>
      <w:r>
        <w:rPr>
          <w:rFonts w:ascii="Times New Roman" w:hAnsi="Times New Roman"/>
          <w:b w:val="0"/>
          <w:color w:val="0A0A0A"/>
          <w:sz w:val="22"/>
          <w:u w:val="none"/>
        </w:rPr>
        <w:t>All PSPs must deploy the updated UI component displaying the countdown timer and Undo button, and must support the new schema version in OTA releases. PSPs are advised to conduct latency testing to ensure the additional round‑trip does not exceed 0.5 seconds. Compliance teams must verify that dispute management processes remain unchanged and that the feature complies with RBI consumer‑safeguard directives.</w:t>
      </w:r>
    </w:p>
    <w:p>
      <w:pPr>
        <w:spacing w:before="0" w:after="8"/>
      </w:pPr>
      <w:r>
        <w:rPr>
          <w:rFonts w:ascii="Times New Roman" w:hAnsi="Times New Roman"/>
          <w:b w:val="0"/>
          <w:color w:val="0A0A0A"/>
          <w:sz w:val="22"/>
          <w:u w:val="none"/>
        </w:rPr>
        <w:t>NPCI must publish a specification amendment that introduces the "undoSupported" flag in the REQ_PAY message schema. NPCI must ensure the Switch processes a cancellation request within the 10-15 second window and aborts the transaction flow accordingly. NPCI are advised to provide a sandbox test harness for PSP validation.</w:t>
      </w:r>
    </w:p>
    <w:p>
      <w:pPr>
        <w:spacing w:before="0" w:after="8"/>
      </w:pPr>
      <w:r>
        <w:rPr>
          <w:rFonts w:ascii="Times New Roman" w:hAnsi="Times New Roman"/>
          <w:b w:val="0"/>
          <w:color w:val="0A0A0A"/>
          <w:sz w:val="22"/>
          <w:u w:val="none"/>
        </w:rPr>
        <w:t>Payer PSP must embed the "undoSupported" flag in all outbound REQ_PAY messages for transactions eligible for the undo window. Payer PSP must generate and transmit a cancellation request to NPCI immediately upon receipt of an Undo action from the UPI App, ensuring the request reaches the Switch before the window expires. Payer PSP are advised to update fraud-monitoring rules to treat cancelled transactions as non-settled and to log the event for audit purposes.</w:t>
      </w:r>
    </w:p>
    <w:p>
      <w:pPr>
        <w:spacing w:before="0" w:after="8"/>
      </w:pPr>
      <w:r>
        <w:rPr>
          <w:rFonts w:ascii="Times New Roman" w:hAnsi="Times New Roman"/>
          <w:b w:val="0"/>
          <w:color w:val="0A0A0A"/>
          <w:sz w:val="22"/>
          <w:u w:val="none"/>
        </w:rPr>
        <w:t>Issuer/Remitter Bank must honor a cancellation request received from NPCI and abort the debit operation if the request arrives within the defined undo interval. Issuer/Remitter Bank must record the cancellation event with the original transaction identifier in its transaction ledger. Issuer/Remitter Bank are advised to reconcile cancelled transactions during end-of-day processing to prevent residual holds.</w:t>
      </w:r>
    </w:p>
    <w:p>
      <w:pPr>
        <w:spacing w:before="0" w:after="8"/>
      </w:pPr>
      <w:r>
        <w:rPr>
          <w:rFonts w:ascii="Times New Roman" w:hAnsi="Times New Roman"/>
          <w:b w:val="0"/>
          <w:color w:val="0A0A0A"/>
          <w:sz w:val="22"/>
          <w:u w:val="none"/>
        </w:rPr>
        <w:t>Beneficiary/Payee Bank must reject any credit posting if NPCI forwards a cancellation request before the credit is finalized. Beneficiary/Payee Bank must maintain only a provisional hold on the beneficiary account until the undo window lapses. Beneficiary/Payee Bank are advised to promptly notify the Payee PSP of the final transaction status to avoid unnecessary notifications.</w:t>
      </w:r>
    </w:p>
    <w:p>
      <w:pPr>
        <w:spacing w:before="0" w:after="8"/>
      </w:pPr>
      <w:r>
        <w:rPr>
          <w:rFonts w:ascii="Times New Roman" w:hAnsi="Times New Roman"/>
          <w:b w:val="0"/>
          <w:color w:val="0A0A0A"/>
          <w:sz w:val="22"/>
          <w:u w:val="none"/>
        </w:rPr>
        <w:t>UPI App must render a visible 10-15 second countdown timer and an "Undo" button immediately after the user taps "Pay". UPI App must invoke the cancellation API within the displayed window when the user selects Undo, ensuring the request is transmitted to the Payer PSP without exceeding 0.4 seconds of additional latency. UPI App are advised to conduct usability testing to confirm the timer visibility and button accessibility across device form-factors.</w:t>
      </w:r>
    </w:p>
    <w:p>
      <w:pPr>
        <w:spacing w:before="0" w:after="8"/>
      </w:pPr>
      <w:r>
        <w:rPr>
          <w:rFonts w:ascii="Times New Roman" w:hAnsi="Times New Roman"/>
          <w:b w:val="0"/>
          <w:color w:val="0A0A0A"/>
          <w:sz w:val="22"/>
          <w:u w:val="none"/>
        </w:rPr>
        <w:t>The ultra‑short "undo" window feature is approved for inclusion in the UPI product suite. Product managers must incorporate the feature into the Product Feature documentation and reference the affected artifacts: UPI App UI, PSP API flag, and NPCI Common Library version.</w:t>
      </w:r>
    </w:p>
    <w:p/>
    <w:p>
      <w:pPr>
        <w:jc w:val="left"/>
      </w:pPr>
      <w:r>
        <w:rPr>
          <w:rFonts w:ascii="Times New Roman" w:hAnsi="Times New Roman"/>
          <w:b w:val="0"/>
          <w:color w:val="0A0A0A"/>
          <w:sz w:val="22"/>
          <w:u w:val="none"/>
        </w:rPr>
        <w:t>Yours Sincerely,</w:t>
      </w:r>
    </w:p>
    <w:p>
      <w:r>
        <w:rPr>
          <w:rFonts w:ascii="Times New Roman" w:hAnsi="Times New Roman"/>
          <w:b w:val="0"/>
          <w:color w:val="0A0A0A"/>
          <w:sz w:val="22"/>
          <w:u w:val="none"/>
        </w:rPr>
        <w:t>SD/-</w:t>
      </w:r>
    </w:p>
    <w:p>
      <w:r>
        <w:rPr>
          <w:rFonts w:ascii="Times New Roman" w:hAnsi="Times New Roman"/>
          <w:b/>
          <w:color w:val="0A0A0A"/>
          <w:sz w:val="22"/>
          <w:u w:val="none"/>
        </w:rPr>
        <w:t>Chief Product Officer</w:t>
      </w:r>
    </w:p>
    <w:p>
      <w:r>
        <w:rPr>
          <w:rFonts w:ascii="Times New Roman" w:hAnsi="Times New Roman"/>
          <w:b w:val="0"/>
          <w:color w:val="0A0A0A"/>
          <w:sz w:val="22"/>
          <w:u w:val="none"/>
        </w:rPr>
        <w:t>Chief Product Officer</w:t>
      </w:r>
    </w:p>
    <w:p>
      <w:r>
        <w:rPr>
          <w:rFonts w:ascii="Times New Roman" w:hAnsi="Times New Roman"/>
          <w:b w:val="0"/>
          <w:color w:val="0A0A0A"/>
          <w:sz w:val="22"/>
          <w:u w:val="none"/>
        </w:rPr>
        <w:t>Product Management</w:t>
      </w:r>
    </w:p>
    <w:sectPr w:rsidR="00FC693F" w:rsidRPr="0006063C" w:rsidSect="00034616">
      <w:footerReference w:type="default" r:id="rId9"/>
      <w:pgSz w:w="12240" w:h="15840"/>
      <w:pgMar w:top="720" w:right="720" w:bottom="720" w:left="108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374151"/>
        <w:sz w:val="16"/>
      </w:rPr>
      <w:t>1001A, The Capital, Bandra Kurla Complex, Bandra (East), Mumbai – 400051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A0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E40A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E3A5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spacing w:after="160"/>
      <w:outlineLvl w:val="9"/>
    </w:pPr>
    <w:rPr>
      <w:rFonts w:ascii="Calibri" w:hAnsi="Calibri"/>
      <w:b/>
      <w:color w:val="1E40AF"/>
      <w:sz w:val="3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000" w:val="right" w:leader="dot"/>
      </w:tabs>
      <w:spacing w:before="200" w:after="80"/>
      <w:ind w:left="0"/>
    </w:pPr>
    <w:rPr>
      <w:rFonts w:ascii="Calibri" w:hAnsi="Calibri"/>
      <w:b/>
      <w:color w:val="1E40AF"/>
      <w:sz w:val="24"/>
    </w:rPr>
  </w:style>
  <w:style w:type="paragraph" w:customStyle="1" w:styleId="TOC2">
    <w:name w:val="TOC 2"/>
    <w:pPr>
      <w:tabs>
        <w:tab w:pos="8683" w:val="right" w:leader="dot"/>
      </w:tabs>
      <w:spacing w:before="120" w:after="40"/>
      <w:ind w:left="317"/>
    </w:pPr>
    <w:rPr>
      <w:rFonts w:ascii="Calibri" w:hAnsi="Calibri"/>
      <w:b w:val="0"/>
      <w:color w:val="1E3A5F"/>
      <w:sz w:val="22"/>
    </w:rPr>
  </w:style>
  <w:style w:type="paragraph" w:customStyle="1" w:styleId="TOC3">
    <w:name w:val="TOC 3"/>
    <w:pPr>
      <w:tabs>
        <w:tab w:pos="8366" w:val="right" w:leader="dot"/>
      </w:tabs>
      <w:spacing w:before="80" w:after="40"/>
      <w:ind w:left="634"/>
    </w:pPr>
    <w:rPr>
      <w:rFonts w:ascii="Calibri" w:hAnsi="Calibri"/>
      <w:b w:val="0"/>
      <w:color w:val="37415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