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4"/>
                <w:u w:val="none"/>
              </w:rPr>
              <w:t>NPCI</w:t>
            </w:r>
          </w:p>
        </w:tc>
        <w:tc>
          <w:tcPr>
            <w:tcW w:type="dxa" w:w="5220"/>
            <w:tcMar>
              <w:top w:w="0" w:type="dxa"/>
              <w:bottom w:w="0" w:type="dxa"/>
              <w:left w:w="0" w:type="dxa"/>
              <w:right w:w="0" w:type="dxa"/>
            </w:tcMar>
          </w:tcPr>
          <w:p/>
        </w:tc>
      </w:tr>
    </w:tbl>
    <w:p>
      <w:pPr>
        <w:pBdr>
          <w:bottom w:val="single" w:sz="6" w:space="1" w:color="1E40AF"/>
        </w:pBdr>
        <w:spacing w:before="4" w:after="4"/>
      </w:pPr>
    </w:p>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2"/>
                <w:u w:val="none"/>
              </w:rPr>
              <w:t>NPCI/UPI/OC No. 001/2026-2027</w:t>
            </w:r>
          </w:p>
        </w:tc>
        <w:tc>
          <w:tcPr>
            <w:tcW w:type="dxa" w:w="5220"/>
            <w:tcMar>
              <w:top w:w="0" w:type="dxa"/>
              <w:bottom w:w="0" w:type="dxa"/>
              <w:left w:w="0" w:type="dxa"/>
              <w:right w:w="0" w:type="dxa"/>
            </w:tcMar>
          </w:tcPr>
          <w:p>
            <w:pPr>
              <w:jc w:val="right"/>
            </w:pPr>
            <w:r>
              <w:rPr>
                <w:rFonts w:ascii="Times New Roman" w:hAnsi="Times New Roman"/>
                <w:b/>
                <w:color w:val="0A0A0A"/>
                <w:sz w:val="22"/>
                <w:u w:val="none"/>
              </w:rPr>
              <w:t>17 April 2026</w:t>
            </w:r>
          </w:p>
        </w:tc>
      </w:tr>
    </w:tbl>
    <w:p/>
    <w:p>
      <w:r>
        <w:rPr>
          <w:rFonts w:ascii="Times New Roman" w:hAnsi="Times New Roman"/>
          <w:b/>
          <w:color w:val="0A0A0A"/>
          <w:sz w:val="22"/>
          <w:u w:val="none"/>
        </w:rPr>
        <w:t>To,</w:t>
      </w:r>
    </w:p>
    <w:p>
      <w:r>
        <w:rPr>
          <w:rFonts w:ascii="Times New Roman" w:hAnsi="Times New Roman"/>
          <w:b/>
          <w:color w:val="0A0A0A"/>
          <w:sz w:val="22"/>
          <w:u w:val="none"/>
        </w:rPr>
        <w:t>All Member Banks, PSP Banks and UPI Applications</w:t>
      </w:r>
    </w:p>
    <w:p>
      <w:pPr>
        <w:spacing w:before="8" w:after="10"/>
      </w:pPr>
      <w:r>
        <w:rPr>
          <w:rFonts w:ascii="Times New Roman" w:hAnsi="Times New Roman"/>
          <w:b/>
          <w:color w:val="0A0A0A"/>
          <w:sz w:val="22"/>
          <w:u w:val="single"/>
        </w:rPr>
        <w:t>Subject: Product: Product Feature Product Canvas Summary: ## Feature **What it does** The “Payee Nickname” feature lets a user give any</w:t>
      </w:r>
    </w:p>
    <w:p>
      <w:pPr>
        <w:spacing w:before="0" w:after="8"/>
      </w:pPr>
      <w:r>
        <w:rPr>
          <w:rFonts w:ascii="Times New Roman" w:hAnsi="Times New Roman"/>
          <w:b w:val="0"/>
          <w:color w:val="0A0A0A"/>
          <w:sz w:val="22"/>
          <w:u w:val="none"/>
        </w:rPr>
        <w:t>The UPI ecosystem presently supports VPA-based payments without a network‑wide mechanism for user‑defined payee labels, relying on disparate app‑specific contact lists. This absence contributes to approximately 1.2% of monthly UPI transactions failing due to mistyped VPAs, incurring an estimated ₹150 million in reversal and support costs. Recognising this operational inefficiency and the RBI’s consumer‑protection directive urging UI enhancements, the Issuer Bank has resolved to introduce a standardized Payee Nickname feature across all participating PSPs. The directive mandates the adoption of a centralized nickname mapping to reduce transaction errors and improve user experience.</w:t>
      </w:r>
    </w:p>
    <w:p>
      <w:pPr>
        <w:spacing w:before="0" w:after="8"/>
      </w:pPr>
      <w:r>
        <w:rPr>
          <w:rFonts w:ascii="Times New Roman" w:hAnsi="Times New Roman"/>
          <w:b w:val="0"/>
          <w:color w:val="0A0A0A"/>
          <w:sz w:val="22"/>
          <w:u w:val="none"/>
        </w:rPr>
        <w:t>NPCI has decided to introduce the Payee Nickname feature across the UPI network. The decision mandates the addition of a nickname attribute to the Beneficiary schema, the enhancement of the ReqValAdd API to return the nickname, and the update of the ListAccount response to include the nickname field. Implementation shall be coordinated with all PSPs and banks to ensure uniform presentation on all UPI‑enabled applications.</w:t>
      </w:r>
    </w:p>
    <w:p>
      <w:pPr>
        <w:spacing w:before="0" w:after="8"/>
      </w:pPr>
      <w:r>
        <w:rPr>
          <w:rFonts w:ascii="Times New Roman" w:hAnsi="Times New Roman"/>
          <w:b w:val="0"/>
          <w:color w:val="0A0A0A"/>
          <w:sz w:val="22"/>
          <w:u w:val="none"/>
        </w:rPr>
        <w:t>The scope of this directive covers the VPA‑to‑nickname mapping module within the Central Mapper service, the CL version field clVersion indicating biometric support, and the JSON schema definitions for ReqValAdd, ListAccount, and PayeeDetail. All affected modules must be version‑compatible with CL version 2.36 or higher. No changes are made to settlement or fee calculation components.</w:t>
      </w:r>
    </w:p>
    <w:p>
      <w:pPr>
        <w:spacing w:before="0" w:after="8"/>
      </w:pPr>
      <w:r>
        <w:rPr>
          <w:rFonts w:ascii="Times New Roman" w:hAnsi="Times New Roman"/>
          <w:b w:val="0"/>
          <w:color w:val="0A0A0A"/>
          <w:sz w:val="22"/>
          <w:u w:val="none"/>
        </w:rPr>
        <w:t>PSP Banks must implement the enhanced ReqValAdd, ListAccount, and PayeeDetail APIs, validate request signatures and timestamps, and expose the nickname attribute in API responses. Issuer Banks must support VPA resolution that includes nickname metadata and must supply accurate nickname values in response payloads within the stipulated SLA. NPCI must route the new API messages, enforce message integrity, and verify version compatibility across participants.</w:t>
      </w:r>
    </w:p>
    <w:p>
      <w:pPr>
        <w:spacing w:before="0" w:after="8"/>
      </w:pPr>
      <w:r>
        <w:rPr>
          <w:rFonts w:ascii="Times New Roman" w:hAnsi="Times New Roman"/>
          <w:b w:val="0"/>
          <w:color w:val="0A0A0A"/>
          <w:sz w:val="22"/>
          <w:u w:val="none"/>
        </w:rPr>
        <w:t>This circular does not supersede any existing directive and the standard UPI dispute management process remains unchanged. All participants are advised to align the feature rollout with the RBI consumer‑protection directive para 4.2. Compliance monitoring will be performed by NPCI’s regulatory audit team.</w:t>
      </w:r>
    </w:p>
    <w:p>
      <w:pPr>
        <w:spacing w:before="0" w:after="8"/>
      </w:pPr>
      <w:r>
        <w:rPr>
          <w:rFonts w:ascii="Times New Roman" w:hAnsi="Times New Roman"/>
          <w:b w:val="0"/>
          <w:color w:val="0A0A0A"/>
          <w:sz w:val="22"/>
          <w:u w:val="none"/>
        </w:rPr>
        <w:t>PSP Banks must implement all mandatory UPI APIs, including REQ_PAY, RESP_PAY, REQ_AUTH_DETAILS, and RESP_AUTH_DETAILS, for the Payee Nickname feature. PSP Banks must validate request signatures and timestamps for every inbound and outbound message. PSP Banks must incorporate the VPA‑to‑nickname mapping field as defined in the latest CL version when invoking LIST_ACCOUNT or related APIs.</w:t>
      </w:r>
    </w:p>
    <w:p>
      <w:pPr>
        <w:spacing w:before="0" w:after="8"/>
      </w:pPr>
      <w:r>
        <w:rPr>
          <w:rFonts w:ascii="Times New Roman" w:hAnsi="Times New Roman"/>
          <w:b w:val="0"/>
          <w:color w:val="0A0A0A"/>
          <w:sz w:val="22"/>
          <w:u w:val="none"/>
        </w:rPr>
        <w:t>PSP Banks are advised to cache nickname metadata locally to minimise latency in UI rendering. PSP Banks are advised to obtain explicit user consent before storing or displaying a nickname on any device. PSP Banks are advised to align UI labels with the nickname field to ensure consistent user experience across all UPI‑enabled applications.</w:t>
      </w:r>
    </w:p>
    <w:p>
      <w:pPr>
        <w:spacing w:before="0" w:after="8"/>
      </w:pPr>
      <w:r>
        <w:rPr>
          <w:rFonts w:ascii="Times New Roman" w:hAnsi="Times New Roman"/>
          <w:b w:val="0"/>
          <w:color w:val="0A0A0A"/>
          <w:sz w:val="22"/>
          <w:u w:val="none"/>
        </w:rPr>
        <w:t>Issuer Banks must support VPA resolution and must supply accurate nickname metadata in response to PSP queries as per the CL specification. Issuer Banks must respond to mandate creation, validation, and REQ_VAL_ADD requests within the SLA stipulated in the UPI operational handbook. Issuer Banks must ensure that nickname data is cryptographically protected in transit and at rest in compliance with RSA‑SHA256 2048‑bit key requirements.</w:t>
      </w:r>
    </w:p>
    <w:p>
      <w:pPr>
        <w:spacing w:before="0" w:after="8"/>
      </w:pPr>
      <w:r>
        <w:rPr>
          <w:rFonts w:ascii="Times New Roman" w:hAnsi="Times New Roman"/>
          <w:b w:val="0"/>
          <w:color w:val="0A0A0A"/>
          <w:sz w:val="22"/>
          <w:u w:val="none"/>
        </w:rPr>
        <w:t>Issuer Banks are advised to monitor nickname‑related error rates and to report any resolution failures to NPCI within twenty‑four hours of detection. Issuer Banks are advised to maintain audit logs for all nickname mapping requests to facilitate dispute resolution.</w:t>
      </w:r>
    </w:p>
    <w:p>
      <w:pPr>
        <w:spacing w:before="0" w:after="8"/>
      </w:pPr>
      <w:r>
        <w:rPr>
          <w:rFonts w:ascii="Times New Roman" w:hAnsi="Times New Roman"/>
          <w:b w:val="0"/>
          <w:color w:val="0A0A0A"/>
          <w:sz w:val="22"/>
          <w:u w:val="none"/>
        </w:rPr>
        <w:t>NPCI must route all API messages between PSPs and banks and must validate message integrity, including the presence and correctness of the nickname field. NPCI must enforce version compatibility and must reject any message that does not conform to the required CL version supporting the nickname feature. NPCI must publish the updated schema and compliance checklist within thirty days of feature activation.</w:t>
      </w:r>
    </w:p>
    <w:p>
      <w:pPr>
        <w:spacing w:before="0" w:after="8"/>
      </w:pPr>
      <w:r>
        <w:rPr>
          <w:rFonts w:ascii="Times New Roman" w:hAnsi="Times New Roman"/>
          <w:b w:val="0"/>
          <w:color w:val="0A0A0A"/>
          <w:sz w:val="22"/>
          <w:u w:val="none"/>
        </w:rPr>
        <w:t>NPCI are advised to provide a dedicated sandbox environment for testing the Payee Nickname APIs. NPCI are advised to issue periodic guidance notes to all participants to clarify interpretation of the nickname mapping requirements.</w:t>
      </w:r>
    </w:p>
    <w:p>
      <w:pPr>
        <w:spacing w:before="0" w:after="8"/>
      </w:pPr>
      <w:r>
        <w:rPr>
          <w:rFonts w:ascii="Times New Roman" w:hAnsi="Times New Roman"/>
          <w:b w:val="0"/>
          <w:color w:val="0A0A0A"/>
          <w:sz w:val="22"/>
          <w:u w:val="none"/>
        </w:rPr>
        <w:t>The current internal communication framework does not explicitly reference the Payee Nickname feature rollout. The gap requires a formal dissemination directive to ensure all relevant stakeholders are informed. Please disseminate the information contained herein to the officials concerned.</w:t>
      </w:r>
    </w:p>
    <w:p/>
    <w:p>
      <w:pPr>
        <w:jc w:val="left"/>
      </w:pPr>
      <w:r>
        <w:rPr>
          <w:rFonts w:ascii="Times New Roman" w:hAnsi="Times New Roman"/>
          <w:b w:val="0"/>
          <w:color w:val="0A0A0A"/>
          <w:sz w:val="22"/>
          <w:u w:val="none"/>
        </w:rPr>
        <w:t>Yours Sincerely,</w:t>
      </w:r>
    </w:p>
    <w:p>
      <w:r>
        <w:rPr>
          <w:rFonts w:ascii="Times New Roman" w:hAnsi="Times New Roman"/>
          <w:b w:val="0"/>
          <w:color w:val="0A0A0A"/>
          <w:sz w:val="22"/>
          <w:u w:val="none"/>
        </w:rPr>
        <w:t>SD/-</w:t>
      </w:r>
    </w:p>
    <w:p>
      <w:r>
        <w:rPr>
          <w:rFonts w:ascii="Times New Roman" w:hAnsi="Times New Roman"/>
          <w:b/>
          <w:color w:val="0A0A0A"/>
          <w:sz w:val="22"/>
          <w:u w:val="none"/>
        </w:rPr>
        <w:t>Chief Product Officer</w:t>
      </w:r>
    </w:p>
    <w:p>
      <w:r>
        <w:rPr>
          <w:rFonts w:ascii="Times New Roman" w:hAnsi="Times New Roman"/>
          <w:b w:val="0"/>
          <w:color w:val="0A0A0A"/>
          <w:sz w:val="22"/>
          <w:u w:val="none"/>
        </w:rPr>
        <w:t>Chief Product Officer</w:t>
      </w:r>
    </w:p>
    <w:p>
      <w:r>
        <w:rPr>
          <w:rFonts w:ascii="Times New Roman" w:hAnsi="Times New Roman"/>
          <w:b w:val="0"/>
          <w:color w:val="0A0A0A"/>
          <w:sz w:val="22"/>
          <w:u w:val="none"/>
        </w:rPr>
        <w:t>Product Management</w:t>
      </w:r>
    </w:p>
    <w:sectPr w:rsidR="00FC693F" w:rsidRPr="0006063C" w:rsidSect="00034616">
      <w:footerReference w:type="default" r:id="rId9"/>
      <w:pgSz w:w="12240" w:h="15840"/>
      <w:pgMar w:top="720" w:right="720" w:bottom="72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374151"/>
        <w:sz w:val="16"/>
      </w:rPr>
      <w:t>1001A, The Capital, Bandra Kurla Complex, Bandra (East), Mumbai – 400051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