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18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**One‑Tap Repeat** lets a user pay the same person or bill</w:t>
      </w:r>
    </w:p>
    <w:p>
      <w:pPr>
        <w:spacing w:before="0" w:after="8"/>
      </w:pPr>
      <w:r>
        <w:rPr>
          <w:rFonts w:ascii="Times New Roman" w:hAnsi="Times New Roman"/>
          <w:b w:val="0"/>
          <w:color w:val="0A0A0A"/>
          <w:sz w:val="22"/>
          <w:u w:val="none"/>
        </w:rPr>
        <w:t>The UPI ecosystem presently processes payments through the standard REQ_PAY/RESP_PAY sequence. Each repeat transaction requires the payer to locate the payee, enter the amount, and confirm, resulting in an average processing time of 4.2 seconds and three to four screen taps.</w:t>
      </w:r>
    </w:p>
    <w:p>
      <w:pPr>
        <w:spacing w:before="0" w:after="8"/>
      </w:pPr>
      <w:r>
        <w:rPr>
          <w:rFonts w:ascii="Times New Roman" w:hAnsi="Times New Roman"/>
          <w:b w:val="0"/>
          <w:color w:val="0A0A0A"/>
          <w:sz w:val="22"/>
          <w:u w:val="none"/>
        </w:rPr>
        <w:t>Market analysis indicates that 42 % of UPI users frequently forget payee details for recurring payments, leading to an estimated ₹12 billion of untapped repeat‑payment volume each year. The current flow lacks a mechanism to pre‑populate payee and amount with a single user action.</w:t>
      </w:r>
    </w:p>
    <w:p>
      <w:pPr>
        <w:spacing w:before="0" w:after="8"/>
      </w:pPr>
      <w:r>
        <w:rPr>
          <w:rFonts w:ascii="Times New Roman" w:hAnsi="Times New Roman"/>
          <w:b w:val="0"/>
          <w:color w:val="0A0A0A"/>
          <w:sz w:val="22"/>
          <w:u w:val="none"/>
        </w:rPr>
        <w:t>This limitation suppresses transaction frequency for high‑value recurring use‑cases such as rent and subscriptions and runs counter to the RBI’s FY‑25 guidance encouraging frictionless digital payments.</w:t>
      </w:r>
    </w:p>
    <w:p>
      <w:pPr>
        <w:spacing w:before="0" w:after="8"/>
      </w:pPr>
      <w:r>
        <w:rPr>
          <w:rFonts w:ascii="Times New Roman" w:hAnsi="Times New Roman"/>
          <w:b w:val="0"/>
          <w:color w:val="0A0A0A"/>
          <w:sz w:val="22"/>
          <w:u w:val="none"/>
        </w:rPr>
        <w:t>Consequently, the Issuer Bank issues this directive requiring all PSP banks to implement the One‑Tap Repeat capability by invoking REQ_PAY with initiationMode=11 and to debit funds on receipt of the request while observing the same settlement cycles as standard UPI transactions.</w:t>
      </w:r>
    </w:p>
    <w:p>
      <w:pPr>
        <w:spacing w:before="0" w:after="8"/>
      </w:pPr>
      <w:r>
        <w:rPr>
          <w:rFonts w:ascii="Times New Roman" w:hAnsi="Times New Roman"/>
          <w:b w:val="0"/>
          <w:color w:val="0A0A0A"/>
          <w:sz w:val="22"/>
          <w:u w:val="none"/>
        </w:rPr>
        <w:t>NPCI has decided to enable the One‑Tap Repeat feature across the UPI ecosystem. The decision applies to all PSP Banks, Issuer Banks, and the NPCI Switch. Scope includes UI, API invocation, and message validation as defined herein.</w:t>
      </w:r>
    </w:p>
    <w:p>
      <w:pPr>
        <w:spacing w:before="0" w:after="8"/>
      </w:pPr>
      <w:r>
        <w:rPr>
          <w:rFonts w:ascii="Times New Roman" w:hAnsi="Times New Roman"/>
          <w:b w:val="0"/>
          <w:color w:val="0A0A0A"/>
          <w:sz w:val="22"/>
          <w:u w:val="none"/>
        </w:rPr>
        <w:t>The affected technical artifacts are the Quick Repeat UI module in PSP applications, the ReqPay API with initiationMode=11, and the optional repeatTxnRefId field in the ReqPay/RespPay schema. No new message types are introduced; existing REQ_PAY and RESP_PAY structures are reused.</w:t>
      </w:r>
    </w:p>
    <w:p>
      <w:pPr>
        <w:spacing w:before="0" w:after="8"/>
      </w:pPr>
      <w:r>
        <w:rPr>
          <w:rFonts w:ascii="Times New Roman" w:hAnsi="Times New Roman"/>
          <w:b w:val="0"/>
          <w:color w:val="0A0A0A"/>
          <w:sz w:val="22"/>
          <w:u w:val="none"/>
        </w:rPr>
        <w:t>PSP Banks must implement the Quick Repeat UI and invoke ReqPay with initiationMode=11. PSP Banks must enforce UPI PIN collection for transaction amounts exceeding INR 15,000 as per test case notes. Issuer Banks must debit funds on receipt of ReqPay and return RespPay, adhering to the standard settlement cycle.</w:t>
      </w:r>
    </w:p>
    <w:p>
      <w:pPr>
        <w:spacing w:before="0" w:after="8"/>
      </w:pPr>
      <w:r>
        <w:rPr>
          <w:rFonts w:ascii="Times New Roman" w:hAnsi="Times New Roman"/>
          <w:b w:val="0"/>
          <w:color w:val="0A0A0A"/>
          <w:sz w:val="22"/>
          <w:u w:val="none"/>
        </w:rPr>
        <w:t>NPCI must route ReqPay, REQ_AUTH_DETAILS, and transaction confirmation messages unchanged. NPCI must validate initiationMode and purposeCode against the specification and accept the optional repeatTxnRefId for traceability. All participants are advised to update monitoring and analytics to capture repeat‑payment metrics.</w:t>
      </w:r>
    </w:p>
    <w:p>
      <w:pPr>
        <w:spacing w:before="0" w:after="8"/>
      </w:pPr>
      <w:r>
        <w:rPr>
          <w:rFonts w:ascii="Times New Roman" w:hAnsi="Times New Roman"/>
          <w:b w:val="0"/>
          <w:color w:val="0A0A0A"/>
          <w:sz w:val="22"/>
          <w:u w:val="none"/>
        </w:rPr>
        <w:t>This section covers Participant Impact &amp; Obligations.</w:t>
      </w:r>
    </w:p>
    <w:p>
      <w:pPr>
        <w:spacing w:before="0" w:after="8"/>
      </w:pPr>
      <w:r>
        <w:rPr>
          <w:rFonts w:ascii="Times New Roman" w:hAnsi="Times New Roman"/>
          <w:b w:val="0"/>
          <w:color w:val="0A0A0A"/>
          <w:sz w:val="22"/>
          <w:u w:val="none"/>
        </w:rPr>
        <w:t>Details to be elaborated further.</w:t>
      </w:r>
    </w:p>
    <w:p>
      <w:pPr>
        <w:spacing w:before="0" w:after="8"/>
      </w:pPr>
      <w:r>
        <w:rPr>
          <w:rFonts w:ascii="Times New Roman" w:hAnsi="Times New Roman"/>
          <w:b w:val="0"/>
          <w:color w:val="0A0A0A"/>
          <w:sz w:val="22"/>
          <w:u w:val="none"/>
        </w:rPr>
        <w:t>This section covers Dissemination Instruction.</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