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4"/>
                <w:u w:val="none"/>
              </w:rPr>
              <w:t>NPCI</w:t>
            </w:r>
          </w:p>
        </w:tc>
        <w:tc>
          <w:tcPr>
            <w:tcW w:type="dxa" w:w="5220"/>
            <w:tcMar>
              <w:top w:w="0" w:type="dxa"/>
              <w:bottom w:w="0" w:type="dxa"/>
              <w:left w:w="0" w:type="dxa"/>
              <w:right w:w="0" w:type="dxa"/>
            </w:tcMar>
          </w:tcPr>
          <w:p/>
        </w:tc>
      </w:tr>
    </w:tbl>
    <w:p>
      <w:pPr>
        <w:pBdr>
          <w:bottom w:val="single" w:sz="6" w:space="1" w:color="1E40AF"/>
        </w:pBdr>
        <w:spacing w:before="4" w:after="4"/>
      </w:pPr>
    </w:p>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2"/>
                <w:u w:val="none"/>
              </w:rPr>
              <w:t>NPCI/UPI/OC No. 001/2026-2027</w:t>
            </w:r>
          </w:p>
        </w:tc>
        <w:tc>
          <w:tcPr>
            <w:tcW w:type="dxa" w:w="5220"/>
            <w:tcMar>
              <w:top w:w="0" w:type="dxa"/>
              <w:bottom w:w="0" w:type="dxa"/>
              <w:left w:w="0" w:type="dxa"/>
              <w:right w:w="0" w:type="dxa"/>
            </w:tcMar>
          </w:tcPr>
          <w:p>
            <w:pPr>
              <w:jc w:val="right"/>
            </w:pPr>
            <w:r>
              <w:rPr>
                <w:rFonts w:ascii="Times New Roman" w:hAnsi="Times New Roman"/>
                <w:b/>
                <w:color w:val="0A0A0A"/>
                <w:sz w:val="22"/>
                <w:u w:val="none"/>
              </w:rPr>
              <w:t>18 April 2026</w:t>
            </w:r>
          </w:p>
        </w:tc>
      </w:tr>
    </w:tbl>
    <w:p/>
    <w:p>
      <w:r>
        <w:rPr>
          <w:rFonts w:ascii="Times New Roman" w:hAnsi="Times New Roman"/>
          <w:b/>
          <w:color w:val="0A0A0A"/>
          <w:sz w:val="22"/>
          <w:u w:val="none"/>
        </w:rPr>
        <w:t>To,</w:t>
      </w:r>
    </w:p>
    <w:p>
      <w:r>
        <w:rPr>
          <w:rFonts w:ascii="Times New Roman" w:hAnsi="Times New Roman"/>
          <w:b/>
          <w:color w:val="0A0A0A"/>
          <w:sz w:val="22"/>
          <w:u w:val="none"/>
        </w:rPr>
        <w:t>All Member Banks, PSP Banks and UPI Applications</w:t>
      </w:r>
    </w:p>
    <w:p>
      <w:pPr>
        <w:spacing w:before="8" w:after="10"/>
      </w:pPr>
      <w:r>
        <w:rPr>
          <w:rFonts w:ascii="Times New Roman" w:hAnsi="Times New Roman"/>
          <w:b/>
          <w:color w:val="0A0A0A"/>
          <w:sz w:val="22"/>
          <w:u w:val="single"/>
        </w:rPr>
        <w:t>Subject: Product: Product Feature Product Canvas Summary: ## Feature The **One‑Tap Repeat** lets a user pay the same person or bill</w:t>
      </w:r>
    </w:p>
    <w:p>
      <w:pPr>
        <w:spacing w:before="0" w:after="8"/>
      </w:pPr>
      <w:r>
        <w:rPr>
          <w:rFonts w:ascii="Times New Roman" w:hAnsi="Times New Roman"/>
          <w:b w:val="0"/>
          <w:color w:val="0A0A0A"/>
          <w:sz w:val="22"/>
          <w:u w:val="none"/>
        </w:rPr>
        <w:t>The present UPI repeat‑payment workflow requires the payer to navigate multiple screens, resulting in an average transaction time of approximately 4.2 seconds and three to four taps per payment. Market analysis indicates that 42 % of users omit payee details for recurring payments, creating an estimated ₹12 billion of unutilised repeat‑payment volume annually. To address this ecosystem shortfall and to comply with RBI guidance on friction‑less digital payments, the Issuer Bank hereby directs all PSP Banks to adopt the One‑Tap Repeat capability using the existing REQ_PAY/RESP_PAY message set with an optional repeat‑reference flag. This directive aims to reduce the repeat‑payment journey to a single tap, halve the time‑to‑pay, and capture the identified revenue opportunity.</w:t>
      </w:r>
    </w:p>
    <w:p>
      <w:pPr>
        <w:spacing w:before="0" w:after="8"/>
      </w:pPr>
      <w:r>
        <w:rPr>
          <w:rFonts w:ascii="Times New Roman" w:hAnsi="Times New Roman"/>
          <w:b w:val="0"/>
          <w:color w:val="0A0A0A"/>
          <w:sz w:val="22"/>
          <w:u w:val="none"/>
        </w:rPr>
        <w:t>NPCI has decided to enable the One‑Tap Repeat payment capability across the UPI ecosystem. The decision applies to the existing ReqPay, ReqAuthDetail and ReqTxnConfirmation message suite. No new API messages shall be introduced; an optional repeatTxnRefId field may be added to the request schema for traceability. All participants must adopt the change within the next release cycle.</w:t>
      </w:r>
    </w:p>
    <w:p>
      <w:pPr>
        <w:spacing w:before="0" w:after="8"/>
      </w:pPr>
      <w:r>
        <w:rPr>
          <w:rFonts w:ascii="Times New Roman" w:hAnsi="Times New Roman"/>
          <w:b w:val="0"/>
          <w:color w:val="0A0A0A"/>
          <w:sz w:val="22"/>
          <w:u w:val="none"/>
        </w:rPr>
        <w:t>PSP Banks must implement handling of ReqPay, ReqAuthDetail and ReqTxnConfirmation in accordance with NPCI specifications for repeat payments. Each repeat request shall set initiationMode=11 and purposeCode=14 and shall include the optional repeatTxnRefId when available. PSPs must validate these fields before forwarding the request to the NPCI Switch. PSPs are advised to update their testing suites to cover the repeat‑pay scenario.</w:t>
      </w:r>
    </w:p>
    <w:p>
      <w:pPr>
        <w:spacing w:before="0" w:after="8"/>
      </w:pPr>
      <w:r>
        <w:rPr>
          <w:rFonts w:ascii="Times New Roman" w:hAnsi="Times New Roman"/>
          <w:b w:val="0"/>
          <w:color w:val="0A0A0A"/>
          <w:sz w:val="22"/>
          <w:u w:val="none"/>
        </w:rPr>
        <w:t>Issuer Banks must support real‑time debit of the payer’s account upon receipt of the NPCI debit request for repeat transactions. The Issuer shall respond with a RespPay containing the transaction status as defined in the UPI specification. Issuers must ensure that the debit operation adheres to the standard per‑transaction and daily limits. Issuers are advised to monitor repeat‑pay transaction patterns for fraud detection.</w:t>
      </w:r>
    </w:p>
    <w:p>
      <w:pPr>
        <w:spacing w:before="0" w:after="8"/>
      </w:pPr>
      <w:r>
        <w:rPr>
          <w:rFonts w:ascii="Times New Roman" w:hAnsi="Times New Roman"/>
          <w:b w:val="0"/>
          <w:color w:val="0A0A0A"/>
          <w:sz w:val="22"/>
          <w:u w:val="none"/>
        </w:rPr>
        <w:t>NPCI shall route ReqPay messages to the appropriate Payee PSP and shall validate the authentication details for all repeat payments. For amounts exceeding INR 15,000, NPCI shall enforce PIN verification irrespective of the repeat flag. NPCI must accept the optional repeatTxnRefId field without breaking existing schema validation. NPCI is advised to publish an amendment note to the Common Library indicating support for the repeat flag in CL version 2.36 or later.</w:t>
      </w:r>
    </w:p>
    <w:p>
      <w:pPr>
        <w:spacing w:before="0" w:after="8"/>
      </w:pPr>
      <w:r>
        <w:rPr>
          <w:rFonts w:ascii="Times New Roman" w:hAnsi="Times New Roman"/>
          <w:b w:val="0"/>
          <w:color w:val="0A0A0A"/>
          <w:sz w:val="22"/>
          <w:u w:val="none"/>
        </w:rPr>
        <w:t>PSP Banks must implement ReqPay, ReqAuthDetail and ReqTxnConfirmation handling as per NPCI specifications. PSP Banks must validate initiationMode=11 and purposeCode=14 for repeat payments. PSP Banks are advised to log the optional repeatTxnRefId for analytics and audit purposes.</w:t>
      </w:r>
    </w:p>
    <w:p>
      <w:pPr>
        <w:spacing w:before="0" w:after="8"/>
      </w:pPr>
      <w:r>
        <w:rPr>
          <w:rFonts w:ascii="Times New Roman" w:hAnsi="Times New Roman"/>
          <w:b w:val="0"/>
          <w:color w:val="0A0A0A"/>
          <w:sz w:val="22"/>
          <w:u w:val="none"/>
        </w:rPr>
        <w:t>Issuer Banks must support real-time debit of the payer account upon receipt of the NPCI debit request. Issuer Banks must respond with the transaction status in RespPay. Issuer Banks are advised to ensure funds-availability verification completes within one second.</w:t>
      </w:r>
    </w:p>
    <w:p>
      <w:pPr>
        <w:spacing w:before="0" w:after="8"/>
      </w:pPr>
      <w:r>
        <w:rPr>
          <w:rFonts w:ascii="Times New Roman" w:hAnsi="Times New Roman"/>
          <w:b w:val="0"/>
          <w:color w:val="0A0A0A"/>
          <w:sz w:val="22"/>
          <w:u w:val="none"/>
        </w:rPr>
        <w:t>NPCI must route ReqPay to the appropriate Payee PSP without alteration. NPCI must validate authentication details and enforce the PIN requirement for transaction amounts exceeding INR 15,000. NPCI are advised to monitor repeat-payment traffic for anomaly detection and report deviations to the regulator.</w:t>
      </w:r>
    </w:p>
    <w:p>
      <w:pPr>
        <w:spacing w:before="0" w:after="8"/>
      </w:pPr>
      <w:r>
        <w:rPr>
          <w:rFonts w:ascii="Times New Roman" w:hAnsi="Times New Roman"/>
          <w:b w:val="0"/>
          <w:color w:val="0A0A0A"/>
          <w:sz w:val="22"/>
          <w:u w:val="none"/>
        </w:rPr>
        <w:t>UPI Apps must present a "Pay again" button that automatically populates the last payee and amount. UPI Apps must invoke ReqPay with an optional repeatTxnRefId flag to identify the repeat request. UPI Apps are advised to allow the user to edit the amount before PIN entry.</w:t>
      </w:r>
    </w:p>
    <w:p>
      <w:pPr>
        <w:spacing w:before="0" w:after="8"/>
      </w:pPr>
      <w:r>
        <w:rPr>
          <w:rFonts w:ascii="Times New Roman" w:hAnsi="Times New Roman"/>
          <w:b w:val="0"/>
          <w:color w:val="0A0A0A"/>
          <w:sz w:val="22"/>
          <w:u w:val="none"/>
        </w:rPr>
        <w:t>Payee PSPs must accept credit requests for repeat payments without additional verification steps. Payee PSPs must acknowledge receipt via RespPay in accordance with the standard flow. Payee PSPs are advised to reconcile the repeatTxnRefId with the original transaction for settlement accuracy.</w:t>
      </w:r>
    </w:p>
    <w:p>
      <w:pPr>
        <w:spacing w:before="0" w:after="8"/>
      </w:pPr>
      <w:r>
        <w:rPr>
          <w:rFonts w:ascii="Times New Roman" w:hAnsi="Times New Roman"/>
          <w:b w:val="0"/>
          <w:color w:val="0A0A0A"/>
          <w:sz w:val="22"/>
          <w:u w:val="none"/>
        </w:rPr>
        <w:t>Current practice does not prescribe a uniform internal dissemination clause. The circular must therefore contain an explicit instruction for internal distribution. The required clause is: "Please disseminate the information contained herein to the officials concerned."</w:t>
      </w:r>
    </w:p>
    <w:p/>
    <w:p>
      <w:pPr>
        <w:jc w:val="left"/>
      </w:pPr>
      <w:r>
        <w:rPr>
          <w:rFonts w:ascii="Times New Roman" w:hAnsi="Times New Roman"/>
          <w:b w:val="0"/>
          <w:color w:val="0A0A0A"/>
          <w:sz w:val="22"/>
          <w:u w:val="none"/>
        </w:rPr>
        <w:t>Yours Sincerely,</w:t>
      </w:r>
    </w:p>
    <w:p>
      <w:r>
        <w:rPr>
          <w:rFonts w:ascii="Times New Roman" w:hAnsi="Times New Roman"/>
          <w:b w:val="0"/>
          <w:color w:val="0A0A0A"/>
          <w:sz w:val="22"/>
          <w:u w:val="none"/>
        </w:rPr>
        <w:t>SD/-</w:t>
      </w:r>
    </w:p>
    <w:p>
      <w:r>
        <w:rPr>
          <w:rFonts w:ascii="Times New Roman" w:hAnsi="Times New Roman"/>
          <w:b/>
          <w:color w:val="0A0A0A"/>
          <w:sz w:val="22"/>
          <w:u w:val="none"/>
        </w:rPr>
        <w:t>Chief Product Officer</w:t>
      </w:r>
    </w:p>
    <w:p>
      <w:r>
        <w:rPr>
          <w:rFonts w:ascii="Times New Roman" w:hAnsi="Times New Roman"/>
          <w:b w:val="0"/>
          <w:color w:val="0A0A0A"/>
          <w:sz w:val="22"/>
          <w:u w:val="none"/>
        </w:rPr>
        <w:t>Chief Product Officer</w:t>
      </w:r>
    </w:p>
    <w:p>
      <w:r>
        <w:rPr>
          <w:rFonts w:ascii="Times New Roman" w:hAnsi="Times New Roman"/>
          <w:b w:val="0"/>
          <w:color w:val="0A0A0A"/>
          <w:sz w:val="22"/>
          <w:u w:val="none"/>
        </w:rPr>
        <w:t>Product Management</w:t>
      </w:r>
    </w:p>
    <w:sectPr w:rsidR="00FC693F" w:rsidRPr="0006063C" w:rsidSect="00034616">
      <w:footerReference w:type="default" r:id="rId9"/>
      <w:pgSz w:w="12240" w:h="15840"/>
      <w:pgMar w:top="720" w:right="720" w:bottom="72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374151"/>
        <w:sz w:val="16"/>
      </w:rPr>
      <w:t>1001A, The Capital, Bandra Kurla Complex, Bandra (East), Mumbai – 400051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