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**Advanced Rule-Based Payment Splits** feature is designed to make managing</w:t>
      </w:r>
    </w:p>
    <w:p>
      <w:pPr>
        <w:spacing w:before="0" w:after="8"/>
      </w:pPr>
      <w:r>
        <w:rPr>
          <w:rFonts w:ascii="Times New Roman" w:hAnsi="Times New Roman"/>
          <w:b w:val="0"/>
          <w:color w:val="0A0A0A"/>
          <w:sz w:val="22"/>
          <w:u w:val="none"/>
        </w:rPr>
        <w:t>The current state of India's digital payment ecosystem lacks robust solutions for managing complex transactions involving multiple stakeholders, often resulting in manual complexity and delayed settlements. Existing applications provide only basic split functionalities, which are insufficient for the growing demand for efficient and automated payment management. This gap presents an opportunity to introduce the Advanced Rule-Based Payment Splits feature, which offers advanced capabilities such as percentage-based splits, priority handling, and cap limits. In response, the issuer has decided to implement this feature to enhance user experience, streamline processes, and align with the government's push towards a cashless economy.</w:t>
      </w:r>
    </w:p>
    <w:p>
      <w:pPr>
        <w:spacing w:before="0" w:after="8"/>
      </w:pPr>
      <w:r>
        <w:rPr>
          <w:rFonts w:ascii="Times New Roman" w:hAnsi="Times New Roman"/>
          <w:b w:val="0"/>
          <w:color w:val="0A0A0A"/>
          <w:sz w:val="22"/>
          <w:u w:val="none"/>
        </w:rPr>
        <w:t>NPCI has decided to implement the Advanced Rule-Based Payment Splits feature to enhance the efficiency of managing multi-party transactions within the UPI ecosystem.</w:t>
      </w:r>
    </w:p>
    <w:p>
      <w:pPr>
        <w:spacing w:before="0" w:after="8"/>
      </w:pPr>
      <w:r>
        <w:rPr>
          <w:rFonts w:ascii="Times New Roman" w:hAnsi="Times New Roman"/>
          <w:b w:val="0"/>
          <w:color w:val="0A0A0A"/>
          <w:sz w:val="22"/>
          <w:u w:val="none"/>
        </w:rPr>
        <w:t>The implementation will involve modifications to the UPI App interface, the Common Library (CL) for secure transaction processing, and the NPCI Switch to support new rule-based logic for payment distribution.</w:t>
      </w:r>
    </w:p>
    <w:p>
      <w:pPr>
        <w:spacing w:before="0" w:after="8"/>
      </w:pPr>
      <w:r>
        <w:rPr>
          <w:rFonts w:ascii="Times New Roman" w:hAnsi="Times New Roman"/>
          <w:b w:val="0"/>
          <w:color w:val="0A0A0A"/>
          <w:sz w:val="22"/>
          <w:u w:val="none"/>
        </w:rPr>
        <w:t>The feature will require updates to the REQ_PAY and RESP_PAY message schemas to accommodate percentage-based splits, priority handling, and cap limits.</w:t>
      </w:r>
    </w:p>
    <w:p>
      <w:pPr>
        <w:spacing w:before="0" w:after="8"/>
      </w:pPr>
      <w:r>
        <w:rPr>
          <w:rFonts w:ascii="Times New Roman" w:hAnsi="Times New Roman"/>
          <w:b w:val="0"/>
          <w:color w:val="0A0A0A"/>
          <w:sz w:val="22"/>
          <w:u w:val="none"/>
        </w:rPr>
        <w:t>Integration of the Advanced Split Engine will be necessary to facilitate the automatic distribution of payments according to predefined rules, thereby reducing manual intervention and errors.</w:t>
      </w:r>
    </w:p>
    <w:p>
      <w:pPr>
        <w:spacing w:before="0" w:after="8"/>
      </w:pPr>
      <w:r>
        <w:rPr>
          <w:rFonts w:ascii="Times New Roman" w:hAnsi="Times New Roman"/>
          <w:b w:val="0"/>
          <w:color w:val="0A0A0A"/>
          <w:sz w:val="22"/>
          <w:u w:val="none"/>
        </w:rPr>
        <w:t>Payment Service Provider (PSP) Banks must integrate the Advanced Rule-Based Payment Splits feature into their UPI applications. This integration requires compliance with the NPCI specifications to ensure seamless operation and user experience.</w:t>
      </w:r>
    </w:p>
    <w:p>
      <w:pPr>
        <w:spacing w:before="0" w:after="8"/>
      </w:pPr>
      <w:r>
        <w:rPr>
          <w:rFonts w:ascii="Times New Roman" w:hAnsi="Times New Roman"/>
          <w:b w:val="0"/>
          <w:color w:val="0A0A0A"/>
          <w:sz w:val="22"/>
          <w:u w:val="none"/>
        </w:rPr>
        <w:t>Issuer/Remitter Banks must update their transaction processing systems to accommodate the new payment split rules. This includes ensuring that percentage-based splits and priority handling are correctly processed and reflected in customer accounts.</w:t>
      </w:r>
    </w:p>
    <w:p>
      <w:pPr>
        <w:spacing w:before="0" w:after="8"/>
      </w:pPr>
      <w:r>
        <w:rPr>
          <w:rFonts w:ascii="Times New Roman" w:hAnsi="Times New Roman"/>
          <w:b w:val="0"/>
          <w:color w:val="0A0A0A"/>
          <w:sz w:val="22"/>
          <w:u w:val="none"/>
        </w:rPr>
        <w:t>Beneficiary/Payee Banks are advised to enhance their reconciliation processes to handle the advanced payment splits. This will aid in minimizing settlement delays and ensuring accurate crediting of funds to the appropriate parties.</w:t>
      </w:r>
    </w:p>
    <w:p>
      <w:pPr>
        <w:spacing w:before="0" w:after="8"/>
      </w:pPr>
      <w:r>
        <w:rPr>
          <w:rFonts w:ascii="Times New Roman" w:hAnsi="Times New Roman"/>
          <w:b w:val="0"/>
          <w:color w:val="0A0A0A"/>
          <w:sz w:val="22"/>
          <w:u w:val="none"/>
        </w:rPr>
        <w:t>UPI App developers must implement a user-friendly interface that guides users through setting up payment rules. The interface should support percentage-based splits and provide clear instructions to reduce user errors and enhance satisfaction.</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