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  <w:spacing w:before="0" w:after="12"/>
      </w:pPr>
      <w:r>
        <w:rPr>
          <w:rFonts w:ascii="Calibri" w:hAnsi="Calibri"/>
          <w:b/>
          <w:color w:val="1E40AF"/>
          <w:sz w:val="52"/>
        </w:rPr>
        <w:t>Business Requirements Document — Product Feature</w:t>
      </w:r>
    </w:p>
    <w:p>
      <w:pPr>
        <w:jc w:val="center"/>
        <w:spacing w:before="0" w:after="8"/>
      </w:pPr>
      <w:r>
        <w:rPr>
          <w:rFonts w:ascii="Calibri" w:hAnsi="Calibri"/>
          <w:b w:val="0"/>
          <w:color w:val="1E3A5F"/>
          <w:sz w:val="36"/>
        </w:rPr>
        <w:t>Product: Product Feature</w:t>
        <w:br/>
        <w:br/>
        <w:t>Product Canvas Summary:</w:t>
        <w:br/>
        <w:br/>
        <w:t>## Feature</w:t>
        <w:br/>
        <w:t>**Unified UPI Loyalty Ecosystem** creates a single, portab</w:t>
      </w:r>
    </w:p>
    <w:p>
      <w:pPr>
        <w:jc w:val="center"/>
        <w:spacing w:before="0" w:after="6"/>
      </w:pPr>
      <w:r>
        <w:rPr>
          <w:rFonts w:ascii="Calibri" w:hAnsi="Calibri"/>
          <w:b/>
          <w:color w:val="374151"/>
          <w:sz w:val="28"/>
        </w:rPr>
        <w:t>BRD</w:t>
      </w:r>
    </w:p>
    <w:p>
      <w:pPr>
        <w:jc w:val="center"/>
        <w:spacing w:before="0" w:after="24"/>
      </w:pPr>
      <w:r>
        <w:rPr>
          <w:rFonts w:ascii="Calibri" w:hAnsi="Calibri"/>
          <w:color w:val="374151"/>
          <w:sz w:val="24"/>
        </w:rPr>
        <w:t>Version 1.0  |  Draft / Confidential</w:t>
      </w:r>
    </w:p>
    <w:p>
      <w:r>
        <w:br w:type="page"/>
      </w:r>
    </w:p>
    <w:p>
      <w:pPr>
        <w:jc w:val="center"/>
        <w:spacing w:before="0" w:after="10"/>
      </w:pPr>
      <w:r>
        <w:rPr>
          <w:b/>
          <w:color w:val="1E40AF"/>
          <w:sz w:val="28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 No.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Date of Change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Change By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Reviewed By</w:t>
            </w:r>
          </w:p>
        </w:tc>
        <w:tc>
          <w:tcPr>
            <w:tcW w:type="dxa" w:w="156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 April 2026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Chief Product Officer</w:t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Initial draft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r>
        <w:br w:type="page"/>
      </w:r>
    </w:p>
    <w:p>
      <w:pPr>
        <w:pStyle w:val="TOCHeading"/>
        <w:jc w:val="left"/>
        <w:pBdr>
          <w:bottom w:val="single" w:sz="6" w:space="1" w:color="1E40AF"/>
        </w:pBdr>
      </w:pPr>
      <w:r>
        <w:t>Table of Contents</w:t>
      </w:r>
    </w:p>
    <w:p>
      <w:pPr>
        <w:jc w:val="left"/>
        <w:spacing w:before="0" w:after="0"/>
      </w:pPr>
      <w:r>
        <w:fldChar w:fldCharType="begin"/>
        <w:instrText xml:space="preserve">TOC \o "1-3" \h \z \u</w:instrText>
        <w:fldChar w:fldCharType="separate"/>
        <w:t>Update field to refresh entries and page numbers.</w:t>
        <w:fldChar w:fldCharType="end"/>
      </w:r>
    </w:p>
    <w:p>
      <w:r>
        <w:br w:type="page"/>
      </w:r>
    </w:p>
    <w:p>
      <w:pPr>
        <w:pStyle w:val="Heading2"/>
        <w:spacing w:before="12" w:after="6"/>
      </w:pPr>
      <w:r>
        <w:t>i. Current State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i. Current State.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ii. Limitations / Challenges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ii. Limitations / Challenges.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iii. Why the Proposed Change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iii. Why the Proposed Change.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i. Product Description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i. Product Description.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ii. Product Construct: Setting / Enrollment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165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bf3f8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Enrollment / setting journey across UPI App, PSP, NPCI, and Issuer Bank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ii. Product Construct: Setting / Enrollment.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Pre-Check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prerequisites and participant readiness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Initiating client / gateway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Submit request and route to the next hop per integration rules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Gateway / orchestrator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Process, validate, and forward or respond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 platform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Response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Return outcome and persist audit trail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Client / gateway</w:t>
            </w:r>
          </w:p>
        </w:tc>
      </w:tr>
    </w:tbl>
    <w:p/>
    <w:p>
      <w:pPr>
        <w:pStyle w:val="Heading2"/>
        <w:spacing w:before="12" w:after="6"/>
      </w:pPr>
      <w:r>
        <w:t>iii. Product Construct: Transaction Flow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812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_30a75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Transaction flow: UPI App → PSP → NPCI → Remitter Bank → Beneficiary Bank → NPCI → PSP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iii. Product Construct: Transaction Flow.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Pre-Check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Validate prerequisites and participant readiness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Initiating client / gateway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Submit request and route to the next hop per integration rules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Gateway / orchestrator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Process, validate, and forward or respond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Core platform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Response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Return outcome and persist audit trail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Client / gateway</w:t>
            </w:r>
          </w:p>
        </w:tc>
      </w:tr>
    </w:tbl>
    <w:p/>
    <w:p>
      <w:pPr>
        <w:pStyle w:val="Heading1"/>
        <w:spacing w:before="18" w:after="6"/>
      </w:pPr>
      <w:r>
        <w:t>Other Salient Points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Other Salient Points.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Dispute Management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Dispute Management.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1"/>
        <w:spacing w:before="18" w:after="6"/>
      </w:pPr>
      <w:r>
        <w:t>Functional Requirements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Functional Requirements.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20"/>
            <w:shd w:val="clear" w:color="auto" w:fill="1D4ED8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FR-01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shall satisfy the integration behaviour described in this document.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FR-02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shall expose observability suitable for production support (logging, tracing).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Medium</w:t>
            </w:r>
          </w:p>
        </w:tc>
      </w:tr>
      <w:tr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FR-03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The system shall enforce security and data-handling policies defined by the program.</w:t>
            </w:r>
          </w:p>
        </w:tc>
        <w:tc>
          <w:tcPr>
            <w:tcW w:type="dxa" w:w="3120"/>
            <w:shd w:val="clear" w:color="auto" w:fill="DBEAFE"/>
            <w:tcMar>
              <w:top w:w="60" w:type="dxa"/>
              <w:bottom w:w="60" w:type="dxa"/>
              <w:left w:w="108" w:type="dxa"/>
              <w:right w:w="108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High</w:t>
            </w:r>
          </w:p>
        </w:tc>
      </w:tr>
    </w:tbl>
    <w:p/>
    <w:p>
      <w:pPr>
        <w:pStyle w:val="Heading2"/>
        <w:spacing w:before="12" w:after="6"/>
      </w:pPr>
      <w:r>
        <w:t>A. NPCI (UPI Platform &amp; CL) — Setting / Schema / Registration Changes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A. NPCI (UPI Platform &amp; CL) — Setting / Schema / Registration Changes.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B. NPCI (UPI Platform &amp; CL) — Transaction Flow / Processing Changes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812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_30a75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NPCI switch processing changes for the new transaction flow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B. NPCI (UPI Platform &amp; CL) — Transaction Flow / Processing Changes.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A. UPI App / PSP — App-side Changes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A. UPI App / PSP — App-side Changes.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B. UPI App / PSP — Transaction-time Changes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165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bf3f8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UPI App and PSP responsibilities during payment execution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B. UPI App / PSP — Transaction-time Changes.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A. Issuer Bank — Auth / Registration Changes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A. Issuer Bank — Auth / Registration Changes.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p>
      <w:pPr>
        <w:pStyle w:val="Heading2"/>
        <w:spacing w:before="12" w:after="6"/>
      </w:pPr>
      <w:r>
        <w:t>B. Issuer Bank — Transaction Flow Changes</w:t>
      </w:r>
    </w:p>
    <w:p>
      <w:pPr>
        <w:jc w:val="center"/>
        <w:spacing w:before="12" w:after="6"/>
      </w:pPr>
      <w:r>
        <w:drawing>
          <wp:inline xmlns:a="http://schemas.openxmlformats.org/drawingml/2006/main" xmlns:pic="http://schemas.openxmlformats.org/drawingml/2006/picture">
            <wp:extent cx="5943600" cy="48127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_30a75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"/>
      </w:pPr>
      <w:r>
        <w:rPr>
          <w:i/>
          <w:color w:val="374151"/>
          <w:sz w:val="18"/>
        </w:rPr>
        <w:t>Figure: Issuer bank processing of authenticated debit requests and response flow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This section covers B. Issuer Bank — Transaction Flow Changes.</w:t>
      </w:r>
    </w:p>
    <w:p>
      <w:pPr>
        <w:spacing w:before="0" w:after="8"/>
      </w:pPr>
      <w:r>
        <w:rPr>
          <w:rFonts w:ascii="Calibri" w:hAnsi="Calibri"/>
          <w:color w:val="0A0A0A"/>
          <w:sz w:val="22"/>
        </w:rPr>
        <w:t>Details to be elaborated further.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374151"/>
        <w:sz w:val="18"/>
      </w:rPr>
      <w:t xml:space="preserve">Draft / Confidential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E40AF"/>
      </w:pBdr>
    </w:pPr>
    <w:r>
      <w:rPr>
        <w:rFonts w:ascii="Calibri" w:hAnsi="Calibri"/>
        <w:color w:val="1E40AF"/>
        <w:sz w:val="18"/>
      </w:rPr>
      <w:t>Business Requirements Document — Product Feature  |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/>
      <w:spacing w:after="160"/>
      <w:outlineLvl w:val="9"/>
    </w:pPr>
    <w:rPr>
      <w:rFonts w:ascii="Calibri" w:hAnsi="Calibri"/>
      <w:b/>
      <w:color w:val="1E40AF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000" w:val="right" w:leader="dot"/>
      </w:tabs>
      <w:spacing w:before="200" w:after="80"/>
      <w:ind w:left="0"/>
    </w:pPr>
    <w:rPr>
      <w:rFonts w:ascii="Calibri" w:hAnsi="Calibri"/>
      <w:b/>
      <w:color w:val="1E40AF"/>
      <w:sz w:val="24"/>
    </w:rPr>
  </w:style>
  <w:style w:type="paragraph" w:customStyle="1" w:styleId="TOC2">
    <w:name w:val="TOC 2"/>
    <w:pPr>
      <w:tabs>
        <w:tab w:pos="8683" w:val="right" w:leader="dot"/>
      </w:tabs>
      <w:spacing w:before="120" w:after="40"/>
      <w:ind w:left="317"/>
    </w:pPr>
    <w:rPr>
      <w:rFonts w:ascii="Calibri" w:hAnsi="Calibri"/>
      <w:b w:val="0"/>
      <w:color w:val="1E3A5F"/>
      <w:sz w:val="22"/>
    </w:rPr>
  </w:style>
  <w:style w:type="paragraph" w:customStyle="1" w:styleId="TOC3">
    <w:name w:val="TOC 3"/>
    <w:pPr>
      <w:tabs>
        <w:tab w:pos="8366" w:val="right" w:leader="dot"/>
      </w:tabs>
      <w:spacing w:before="80" w:after="40"/>
      <w:ind w:left="634"/>
    </w:pPr>
    <w:rPr>
      <w:rFonts w:ascii="Calibri" w:hAnsi="Calibri"/>
      <w:b w:val="0"/>
      <w:color w:val="37415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