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A0A0A"/>
                <w:sz w:val="24"/>
                <w:u w:val="none"/>
              </w:rPr>
              <w:t>NPCI</w:t>
            </w:r>
          </w:p>
        </w:tc>
        <w:tc>
          <w:tcPr>
            <w:tcW w:type="dxa" w:w="5220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pBdr>
          <w:bottom w:val="single" w:sz="6" w:space="1" w:color="1E40AF"/>
        </w:pBdr>
        <w:spacing w:before="4" w:after="4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A0A0A"/>
                <w:sz w:val="22"/>
                <w:u w:val="none"/>
              </w:rPr>
              <w:t>NPCI/UPI/OC No. 001/2026-2027</w:t>
            </w:r>
          </w:p>
        </w:tc>
        <w:tc>
          <w:tcPr>
            <w:tcW w:type="dxa" w:w="52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0A0A0A"/>
                <w:sz w:val="22"/>
                <w:u w:val="none"/>
              </w:rPr>
              <w:t>16 April 2026</w:t>
            </w:r>
          </w:p>
        </w:tc>
      </w:tr>
    </w:tbl>
    <w:p/>
    <w:p>
      <w:r>
        <w:rPr>
          <w:rFonts w:ascii="Times New Roman" w:hAnsi="Times New Roman"/>
          <w:b/>
          <w:color w:val="0A0A0A"/>
          <w:sz w:val="22"/>
          <w:u w:val="none"/>
        </w:rPr>
        <w:t>To,</w:t>
      </w:r>
    </w:p>
    <w:p>
      <w:r>
        <w:rPr>
          <w:rFonts w:ascii="Times New Roman" w:hAnsi="Times New Roman"/>
          <w:b/>
          <w:color w:val="0A0A0A"/>
          <w:sz w:val="22"/>
          <w:u w:val="none"/>
        </w:rPr>
        <w:t>All Member Banks, PSP Banks and UPI Applications</w:t>
      </w:r>
    </w:p>
    <w:p>
      <w:pPr>
        <w:spacing w:before="8" w:after="10"/>
      </w:pPr>
      <w:r>
        <w:rPr>
          <w:rFonts w:ascii="Times New Roman" w:hAnsi="Times New Roman"/>
          <w:b/>
          <w:color w:val="0A0A0A"/>
          <w:sz w:val="22"/>
          <w:u w:val="single"/>
        </w:rPr>
        <w:t>Subject: Product: Product Feature Product Canvas Summary: ## Feature **Unified UPI Loyalty Ecosystem** creates a single, portable rewards system acro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This section covers Context Paragraph.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Details to be elaborated further.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This section covers Decision &amp; Scope Statement.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Details to be elaborated further.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This section covers Participant Impact &amp; Obligations.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Details to be elaborated further.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This section covers Dissemination Instruction.</w:t>
      </w:r>
    </w:p>
    <w:p/>
    <w:p>
      <w:pPr>
        <w:jc w:val="left"/>
      </w:pPr>
      <w:r>
        <w:rPr>
          <w:rFonts w:ascii="Times New Roman" w:hAnsi="Times New Roman"/>
          <w:b w:val="0"/>
          <w:color w:val="0A0A0A"/>
          <w:sz w:val="22"/>
          <w:u w:val="none"/>
        </w:rPr>
        <w:t>Yours Sincerely,</w:t>
      </w:r>
    </w:p>
    <w:p>
      <w:r>
        <w:rPr>
          <w:rFonts w:ascii="Times New Roman" w:hAnsi="Times New Roman"/>
          <w:b w:val="0"/>
          <w:color w:val="0A0A0A"/>
          <w:sz w:val="22"/>
          <w:u w:val="none"/>
        </w:rPr>
        <w:t>SD/-</w:t>
      </w:r>
    </w:p>
    <w:p>
      <w:r>
        <w:rPr>
          <w:rFonts w:ascii="Times New Roman" w:hAnsi="Times New Roman"/>
          <w:b/>
          <w:color w:val="0A0A0A"/>
          <w:sz w:val="22"/>
          <w:u w:val="none"/>
        </w:rPr>
        <w:t>Chief Product Officer</w:t>
      </w:r>
    </w:p>
    <w:p>
      <w:r>
        <w:rPr>
          <w:rFonts w:ascii="Times New Roman" w:hAnsi="Times New Roman"/>
          <w:b w:val="0"/>
          <w:color w:val="0A0A0A"/>
          <w:sz w:val="22"/>
          <w:u w:val="none"/>
        </w:rPr>
        <w:t>Chief Product Officer</w:t>
      </w:r>
    </w:p>
    <w:p>
      <w:r>
        <w:rPr>
          <w:rFonts w:ascii="Times New Roman" w:hAnsi="Times New Roman"/>
          <w:b w:val="0"/>
          <w:color w:val="0A0A0A"/>
          <w:sz w:val="22"/>
          <w:u w:val="none"/>
        </w:rPr>
        <w:t>Product Management</w:t>
      </w:r>
    </w:p>
    <w:sectPr w:rsidR="00FC693F" w:rsidRPr="0006063C" w:rsidSect="00034616">
      <w:footerReference w:type="default" r:id="rId9"/>
      <w:pgSz w:w="12240" w:h="15840"/>
      <w:pgMar w:top="720" w:right="720" w:bottom="72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374151"/>
        <w:sz w:val="16"/>
      </w:rPr>
      <w:t>1001A, The Capital, Bandra Kurla Complex, Bandra (East), Mumbai – 400051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/>
      <w:spacing w:after="160"/>
      <w:outlineLvl w:val="9"/>
    </w:pPr>
    <w:rPr>
      <w:rFonts w:ascii="Calibri" w:hAnsi="Calibri"/>
      <w:b/>
      <w:color w:val="1E40AF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000" w:val="right" w:leader="dot"/>
      </w:tabs>
      <w:spacing w:before="200" w:after="80"/>
      <w:ind w:left="0"/>
    </w:pPr>
    <w:rPr>
      <w:rFonts w:ascii="Calibri" w:hAnsi="Calibri"/>
      <w:b/>
      <w:color w:val="1E40AF"/>
      <w:sz w:val="24"/>
    </w:rPr>
  </w:style>
  <w:style w:type="paragraph" w:customStyle="1" w:styleId="TOC2">
    <w:name w:val="TOC 2"/>
    <w:pPr>
      <w:tabs>
        <w:tab w:pos="8683" w:val="right" w:leader="dot"/>
      </w:tabs>
      <w:spacing w:before="120" w:after="40"/>
      <w:ind w:left="317"/>
    </w:pPr>
    <w:rPr>
      <w:rFonts w:ascii="Calibri" w:hAnsi="Calibri"/>
      <w:b w:val="0"/>
      <w:color w:val="1E3A5F"/>
      <w:sz w:val="22"/>
    </w:rPr>
  </w:style>
  <w:style w:type="paragraph" w:customStyle="1" w:styleId="TOC3">
    <w:name w:val="TOC 3"/>
    <w:pPr>
      <w:tabs>
        <w:tab w:pos="8366" w:val="right" w:leader="dot"/>
      </w:tabs>
      <w:spacing w:before="80" w:after="40"/>
      <w:ind w:left="634"/>
    </w:pPr>
    <w:rPr>
      <w:rFonts w:ascii="Calibri" w:hAnsi="Calibri"/>
      <w:b w:val="0"/>
      <w:color w:val="37415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