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  <w:spacing w:before="0" w:after="12"/>
      </w:pPr>
      <w:r>
        <w:rPr>
          <w:rFonts w:ascii="Calibri" w:hAnsi="Calibri"/>
          <w:b/>
          <w:color w:val="1E40AF"/>
          <w:sz w:val="52"/>
        </w:rPr>
        <w:t>Product Note — Product Feature</w:t>
      </w:r>
    </w:p>
    <w:p>
      <w:pPr>
        <w:jc w:val="center"/>
        <w:spacing w:before="0" w:after="8"/>
      </w:pPr>
      <w:r>
        <w:rPr>
          <w:rFonts w:ascii="Calibri" w:hAnsi="Calibri"/>
          <w:b w:val="0"/>
          <w:color w:val="1E3A5F"/>
          <w:sz w:val="36"/>
        </w:rPr>
        <w:t>Product: Product Feature</w:t>
        <w:br/>
        <w:br/>
        <w:t>Product Canvas Summary:</w:t>
        <w:br/>
        <w:br/>
        <w:t>## Feature</w:t>
        <w:br/>
        <w:t>**Unified UPI Loyalty Ecosystem** creates a single, portab</w:t>
      </w:r>
    </w:p>
    <w:p>
      <w:pPr>
        <w:jc w:val="center"/>
        <w:spacing w:before="0" w:after="6"/>
      </w:pPr>
      <w:r>
        <w:rPr>
          <w:rFonts w:ascii="Calibri" w:hAnsi="Calibri"/>
          <w:b/>
          <w:color w:val="374151"/>
          <w:sz w:val="28"/>
        </w:rPr>
        <w:t>PRODUCT NOTE</w:t>
      </w:r>
    </w:p>
    <w:p>
      <w:pPr>
        <w:jc w:val="center"/>
        <w:spacing w:before="0" w:after="24"/>
      </w:pPr>
      <w:r>
        <w:rPr>
          <w:rFonts w:ascii="Calibri" w:hAnsi="Calibri"/>
          <w:color w:val="374151"/>
          <w:sz w:val="24"/>
        </w:rPr>
        <w:t>Version 1.0  |  Draft / Confidential</w:t>
      </w:r>
    </w:p>
    <w:p>
      <w:r>
        <w:br w:type="page"/>
      </w:r>
    </w:p>
    <w:p>
      <w:pPr>
        <w:jc w:val="center"/>
        <w:spacing w:before="0" w:after="10"/>
      </w:pPr>
      <w:r>
        <w:rPr>
          <w:b/>
          <w:color w:val="1E40AF"/>
          <w:sz w:val="28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Sr. No.</w:t>
            </w:r>
          </w:p>
        </w:tc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Document Name</w:t>
            </w:r>
          </w:p>
        </w:tc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Date of Change</w:t>
            </w:r>
          </w:p>
        </w:tc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Product Note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16 April 2026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Initial draft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r>
        <w:br w:type="page"/>
      </w:r>
    </w:p>
    <w:p>
      <w:pPr>
        <w:pStyle w:val="TOCHeading"/>
        <w:jc w:val="left"/>
        <w:pBdr>
          <w:bottom w:val="single" w:sz="6" w:space="1" w:color="1E40AF"/>
        </w:pBdr>
      </w:pPr>
      <w:r>
        <w:t>Table of Contents</w:t>
      </w:r>
    </w:p>
    <w:p>
      <w:pPr>
        <w:jc w:val="left"/>
        <w:spacing w:before="0" w:after="0"/>
      </w:pPr>
      <w:r>
        <w:fldChar w:fldCharType="begin"/>
        <w:instrText xml:space="preserve">TOC \o "1-3" \h \z \u</w:instrText>
        <w:fldChar w:fldCharType="separate"/>
        <w:t>Update field to refresh entries and page numbers.</w:t>
        <w:fldChar w:fldCharType="end"/>
      </w:r>
    </w:p>
    <w:p>
      <w:r>
        <w:br w:type="page"/>
      </w:r>
    </w:p>
    <w:p>
      <w:pPr>
        <w:pStyle w:val="Heading1"/>
        <w:spacing w:before="18" w:after="6"/>
      </w:pPr>
      <w:r>
        <w:t>Document Overview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Document Overview.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1"/>
        <w:spacing w:before="18" w:after="6"/>
      </w:pPr>
      <w:r>
        <w:t>Background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Background.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1"/>
        <w:spacing w:before="18" w:after="6"/>
      </w:pPr>
      <w:r>
        <w:t>Product Overview - Feature Description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Product Overview - Feature Description.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1"/>
        <w:spacing w:before="18" w:after="6"/>
      </w:pPr>
      <w:r>
        <w:t>Product Construct: Setting / Enrollment</w:t>
      </w:r>
    </w:p>
    <w:p>
      <w:pPr>
        <w:jc w:val="center"/>
        <w:spacing w:before="12" w:after="6"/>
      </w:pPr>
      <w:r>
        <w:drawing>
          <wp:inline xmlns:a="http://schemas.openxmlformats.org/drawingml/2006/main" xmlns:pic="http://schemas.openxmlformats.org/drawingml/2006/picture">
            <wp:extent cx="5943600" cy="4165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_a6ce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"/>
      </w:pPr>
      <w:r>
        <w:rPr>
          <w:i/>
          <w:color w:val="374151"/>
          <w:sz w:val="18"/>
        </w:rPr>
        <w:t>Figure: Enrollment and setting journey across key participants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Product Construct: Setting / Enrollment.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Responsible</w:t>
            </w:r>
          </w:p>
        </w:tc>
      </w:tr>
      <w:tr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Pre-Check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Validate prerequisites and participant readiness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Initiating client / gateway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Step 1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Submit request and route to the next hop per integration rules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Gateway / orchestrator</w:t>
            </w:r>
          </w:p>
        </w:tc>
      </w:tr>
      <w:tr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Step 2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Process, validate, and forward or respond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Core platform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Post Response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Return outcome and persist audit trail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Client / gateway</w:t>
            </w:r>
          </w:p>
        </w:tc>
      </w:tr>
    </w:tbl>
    <w:p/>
    <w:p>
      <w:pPr>
        <w:pStyle w:val="Heading1"/>
        <w:spacing w:before="18" w:after="6"/>
      </w:pPr>
      <w:r>
        <w:t>Product Construct: Transaction Flow</w:t>
      </w:r>
    </w:p>
    <w:p>
      <w:pPr>
        <w:jc w:val="center"/>
        <w:spacing w:before="12" w:after="6"/>
      </w:pPr>
      <w:r>
        <w:drawing>
          <wp:inline xmlns:a="http://schemas.openxmlformats.org/drawingml/2006/main" xmlns:pic="http://schemas.openxmlformats.org/drawingml/2006/picture">
            <wp:extent cx="5943600" cy="4812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_027c9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"/>
      </w:pPr>
      <w:r>
        <w:rPr>
          <w:i/>
          <w:color w:val="374151"/>
          <w:sz w:val="18"/>
        </w:rPr>
        <w:t>Figure: Transaction flow across key participants and system components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Product Construct: Transaction Flow.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Responsible</w:t>
            </w:r>
          </w:p>
        </w:tc>
      </w:tr>
      <w:tr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Pre-Check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Validate prerequisites and participant readiness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Initiating client / gateway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Step 1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Submit request and route to the next hop per integration rules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Gateway / orchestrator</w:t>
            </w:r>
          </w:p>
        </w:tc>
      </w:tr>
      <w:tr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Step 2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Process, validate, and forward or respond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Core platform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Post Response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Return outcome and persist audit trail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Client / gateway</w:t>
            </w:r>
          </w:p>
        </w:tc>
      </w:tr>
    </w:tbl>
    <w:p/>
    <w:p>
      <w:pPr>
        <w:pStyle w:val="Heading1"/>
        <w:spacing w:before="18" w:after="6"/>
      </w:pPr>
      <w:r>
        <w:t>Key Considerations &amp; Policy Rules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Key Considerations &amp; Policy Rules.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1"/>
        <w:spacing w:before="18" w:after="6"/>
      </w:pPr>
      <w:r>
        <w:t>Other Salient Points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Other Salient Points.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1"/>
        <w:spacing w:before="18" w:after="6"/>
      </w:pPr>
      <w:r>
        <w:t>Dispute Management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Dispute Management.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1"/>
        <w:spacing w:before="18" w:after="6"/>
      </w:pPr>
      <w:r>
        <w:t>Testing, Certification &amp; Audits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Testing, Certification &amp; Audits.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Happy path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Validate primary success flow end-to-end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Integration lead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Negative path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Validate failure handling and user-visible outcomes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QA / Platform</w:t>
            </w:r>
          </w:p>
        </w:tc>
      </w:tr>
      <w:tr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Recovery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Validate retry, timeout, and reconciliation behaviour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Operations</w:t>
            </w:r>
          </w:p>
        </w:tc>
      </w:tr>
    </w:tbl>
    <w:p/>
    <w:p>
      <w:pPr>
        <w:pStyle w:val="Heading1"/>
        <w:spacing w:before="18" w:after="6"/>
      </w:pPr>
      <w:r>
        <w:t>Annexure: Pre-Checks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Annexure: Pre-Checks.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374151"/>
        <w:sz w:val="18"/>
      </w:rPr>
      <w:t xml:space="preserve">Draft / Confidential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E40AF"/>
      </w:pBdr>
    </w:pPr>
    <w:r>
      <w:rPr>
        <w:rFonts w:ascii="Calibri" w:hAnsi="Calibri"/>
        <w:color w:val="1E40AF"/>
        <w:sz w:val="18"/>
      </w:rPr>
      <w:t>Product Note — Product Feature  | 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A0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/>
      <w:spacing w:after="160"/>
      <w:outlineLvl w:val="9"/>
    </w:pPr>
    <w:rPr>
      <w:rFonts w:ascii="Calibri" w:hAnsi="Calibri"/>
      <w:b/>
      <w:color w:val="1E40AF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tabs>
        <w:tab w:pos="9000" w:val="right" w:leader="dot"/>
      </w:tabs>
      <w:spacing w:before="200" w:after="80"/>
      <w:ind w:left="0"/>
    </w:pPr>
    <w:rPr>
      <w:rFonts w:ascii="Calibri" w:hAnsi="Calibri"/>
      <w:b/>
      <w:color w:val="1E40AF"/>
      <w:sz w:val="24"/>
    </w:rPr>
  </w:style>
  <w:style w:type="paragraph" w:customStyle="1" w:styleId="TOC2">
    <w:name w:val="TOC 2"/>
    <w:pPr>
      <w:tabs>
        <w:tab w:pos="8683" w:val="right" w:leader="dot"/>
      </w:tabs>
      <w:spacing w:before="120" w:after="40"/>
      <w:ind w:left="317"/>
    </w:pPr>
    <w:rPr>
      <w:rFonts w:ascii="Calibri" w:hAnsi="Calibri"/>
      <w:b w:val="0"/>
      <w:color w:val="1E3A5F"/>
      <w:sz w:val="22"/>
    </w:rPr>
  </w:style>
  <w:style w:type="paragraph" w:customStyle="1" w:styleId="TOC3">
    <w:name w:val="TOC 3"/>
    <w:pPr>
      <w:tabs>
        <w:tab w:pos="8366" w:val="right" w:leader="dot"/>
      </w:tabs>
      <w:spacing w:before="80" w:after="40"/>
      <w:ind w:left="634"/>
    </w:pPr>
    <w:rPr>
      <w:rFonts w:ascii="Calibri" w:hAnsi="Calibri"/>
      <w:b w:val="0"/>
      <w:color w:val="37415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