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  <w:spacing w:before="0" w:after="12"/>
      </w:pPr>
      <w:r>
        <w:rPr>
          <w:rFonts w:ascii="Calibri" w:hAnsi="Calibri"/>
          <w:b/>
          <w:color w:val="1E40AF"/>
          <w:sz w:val="52"/>
        </w:rPr>
        <w:t>Technical Specification Document — Product Feature</w:t>
      </w:r>
    </w:p>
    <w:p>
      <w:pPr>
        <w:jc w:val="center"/>
        <w:spacing w:before="0" w:after="8"/>
      </w:pPr>
      <w:r>
        <w:rPr>
          <w:rFonts w:ascii="Calibri" w:hAnsi="Calibri"/>
          <w:b w:val="0"/>
          <w:color w:val="1E3A5F"/>
          <w:sz w:val="36"/>
        </w:rPr>
        <w:t>Product: Product Feature</w:t>
        <w:br/>
        <w:br/>
        <w:t>Product Canvas Summary:</w:t>
        <w:br/>
        <w:br/>
        <w:t>## Feature</w:t>
        <w:br/>
        <w:t>**Unified UPI Loyalty Ecosystem** creates a single, portab</w:t>
      </w:r>
    </w:p>
    <w:p>
      <w:pPr>
        <w:jc w:val="center"/>
        <w:spacing w:before="0" w:after="6"/>
      </w:pPr>
      <w:r>
        <w:rPr>
          <w:rFonts w:ascii="Calibri" w:hAnsi="Calibri"/>
          <w:b/>
          <w:color w:val="374151"/>
          <w:sz w:val="28"/>
        </w:rPr>
        <w:t>TSD</w:t>
      </w:r>
    </w:p>
    <w:p>
      <w:pPr>
        <w:jc w:val="center"/>
        <w:spacing w:before="0" w:after="24"/>
      </w:pPr>
      <w:r>
        <w:rPr>
          <w:rFonts w:ascii="Calibri" w:hAnsi="Calibri"/>
          <w:color w:val="374151"/>
          <w:sz w:val="24"/>
        </w:rPr>
        <w:t>Version 1.0  |  Draft / Confidential</w:t>
      </w:r>
    </w:p>
    <w:p>
      <w:r>
        <w:br w:type="page"/>
      </w:r>
    </w:p>
    <w:p>
      <w:pPr>
        <w:jc w:val="center"/>
        <w:spacing w:before="0" w:after="10"/>
      </w:pPr>
      <w:r>
        <w:rPr>
          <w:b/>
          <w:color w:val="1E40AF"/>
          <w:sz w:val="28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Document Name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Date of Change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Technical Specification Document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 April 2026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Initial draft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br w:type="page"/>
      </w:r>
    </w:p>
    <w:p>
      <w:pPr>
        <w:pStyle w:val="TOCHeading"/>
        <w:jc w:val="left"/>
        <w:pBdr>
          <w:bottom w:val="single" w:sz="6" w:space="1" w:color="1E40AF"/>
        </w:pBdr>
      </w:pPr>
      <w:r>
        <w:t>Table of Contents</w:t>
      </w:r>
    </w:p>
    <w:p>
      <w:pPr>
        <w:jc w:val="left"/>
        <w:spacing w:before="0" w:after="0"/>
      </w:pPr>
      <w:r>
        <w:fldChar w:fldCharType="begin"/>
        <w:instrText xml:space="preserve">TOC \o "1-3" \h \z \u</w:instrText>
        <w:fldChar w:fldCharType="separate"/>
        <w:t>Update field to refresh entries and page numbers.</w:t>
        <w:fldChar w:fldCharType="end"/>
      </w:r>
    </w:p>
    <w:p>
      <w:r>
        <w:br w:type="page"/>
      </w:r>
    </w:p>
    <w:p>
      <w:pPr>
        <w:pStyle w:val="Heading1"/>
        <w:spacing w:before="18" w:after="6"/>
      </w:pPr>
      <w:r>
        <w:t>Background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Background.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Product Overview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Product Overview.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Product Construct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Product Construct.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Process Flow: Setting &amp; Enrollment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812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1a480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Setting and enrollment flow: UPI App → PSP → NPCI → Issuer Bank → NPCI → PSP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Process Flow: Setting &amp; Enrollment.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Pre-Check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prerequisites and participant readiness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Initiating client / gateway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Submit request and route to the next hop per integration rules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Gateway / orchestrator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Process, validate, and forward or respond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 platform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Response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Return outcome and persist audit trail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Client / gateway</w:t>
            </w:r>
          </w:p>
        </w:tc>
      </w:tr>
    </w:tbl>
    <w:p/>
    <w:p>
      <w:pPr>
        <w:pStyle w:val="Heading2"/>
        <w:spacing w:before="12" w:after="6"/>
      </w:pPr>
      <w:r>
        <w:t>Process Flow: Transaction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812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1a480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Transaction flow: UPI App → PSP → NPCI → Remitter Bank → Beneficiary Bank → NPCI → PSP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Process Flow: Transaction.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Pre-Check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prerequisites and participant readiness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Initiating client / gateway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Submit request and route to the next hop per integration rules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Gateway / orchestrator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Process, validate, and forward or respond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 platform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Response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Return outcome and persist audit trail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Client / gateway</w:t>
            </w:r>
          </w:p>
        </w:tc>
      </w:tr>
    </w:tbl>
    <w:p/>
    <w:p>
      <w:pPr>
        <w:pStyle w:val="Heading1"/>
        <w:spacing w:before="18" w:after="6"/>
      </w:pPr>
      <w:r>
        <w:t>Technical Specifications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Technical Specifications.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i. Primary API Specifications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812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1a480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Primary API request/response flow across participants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i. Primary API Specifications.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 / Element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Length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Mandatory</w:t>
            </w:r>
          </w:p>
        </w:tc>
      </w:tr>
      <w:tr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schemaVersion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var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Replace with normative version field for your API.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requestId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var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Correlation id for tracing; replace with your idempotency key if used.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payload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object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Replace with message-specific body per your specification.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</w:tbl>
    <w:p/>
    <w:p>
      <w:pPr>
        <w:pStyle w:val="Heading2"/>
        <w:spacing w:before="12" w:after="6"/>
      </w:pPr>
      <w:r>
        <w:t>ii. Secondary API Specifications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ii. Secondary API Specifications.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 / Element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Length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Mandatory</w:t>
            </w:r>
          </w:p>
        </w:tc>
      </w:tr>
      <w:tr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schemaVersion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var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Replace with normative version field for your API.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requestId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var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Correlation id for tracing; replace with your idempotency key if used.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payload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object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Replace with message-specific body per your specification.</w:t>
            </w:r>
          </w:p>
        </w:tc>
        <w:tc>
          <w:tcPr>
            <w:tcW w:type="dxa" w:w="1872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</w:tbl>
    <w:p/>
    <w:p>
      <w:pPr>
        <w:pStyle w:val="Heading2"/>
        <w:spacing w:before="12" w:after="6"/>
      </w:pPr>
      <w:r>
        <w:t>iii. Error Handling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iii. Error Handling.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Response Code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Error Code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TD/BD</w:t>
            </w:r>
          </w:p>
        </w:tc>
      </w:tr>
      <w:tr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E1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E1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Eligibility or precondition failed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Pre-check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Originating service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BD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E2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E2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Activation or registration failed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Setup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Credential service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TD</w:t>
            </w:r>
          </w:p>
        </w:tc>
      </w:tr>
      <w:tr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E3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E3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Authentication or validation failed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Transaction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Issuer / verifier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TD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Credential mismatch or replay detected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Transaction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Issuer / verifier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TD</w:t>
            </w:r>
          </w:p>
        </w:tc>
      </w:tr>
      <w:tr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Timeout waiting for downstream response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Any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Switch / broker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TD</w:t>
            </w:r>
          </w:p>
        </w:tc>
      </w:tr>
    </w:tbl>
    <w:p/>
    <w:p>
      <w:pPr>
        <w:pStyle w:val="Heading2"/>
        <w:spacing w:before="12" w:after="6"/>
      </w:pPr>
      <w:r>
        <w:t>iv. Note: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iv. Note:.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374151"/>
        <w:sz w:val="18"/>
      </w:rPr>
      <w:t xml:space="preserve">Draft / Confidential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E40AF"/>
      </w:pBdr>
    </w:pPr>
    <w:r>
      <w:rPr>
        <w:rFonts w:ascii="Calibri" w:hAnsi="Calibri"/>
        <w:color w:val="1E40AF"/>
        <w:sz w:val="18"/>
      </w:rPr>
      <w:t>Technical Specification Document — Product Feature  |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after="160"/>
      <w:outlineLvl w:val="9"/>
    </w:pPr>
    <w:rPr>
      <w:rFonts w:ascii="Calibri" w:hAnsi="Calibri"/>
      <w:b/>
      <w:color w:val="1E40AF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000" w:val="right" w:leader="dot"/>
      </w:tabs>
      <w:spacing w:before="200" w:after="80"/>
      <w:ind w:left="0"/>
    </w:pPr>
    <w:rPr>
      <w:rFonts w:ascii="Calibri" w:hAnsi="Calibri"/>
      <w:b/>
      <w:color w:val="1E40AF"/>
      <w:sz w:val="24"/>
    </w:rPr>
  </w:style>
  <w:style w:type="paragraph" w:customStyle="1" w:styleId="TOC2">
    <w:name w:val="TOC 2"/>
    <w:pPr>
      <w:tabs>
        <w:tab w:pos="8683" w:val="right" w:leader="dot"/>
      </w:tabs>
      <w:spacing w:before="120" w:after="40"/>
      <w:ind w:left="317"/>
    </w:pPr>
    <w:rPr>
      <w:rFonts w:ascii="Calibri" w:hAnsi="Calibri"/>
      <w:b w:val="0"/>
      <w:color w:val="1E3A5F"/>
      <w:sz w:val="22"/>
    </w:rPr>
  </w:style>
  <w:style w:type="paragraph" w:customStyle="1" w:styleId="TOC3">
    <w:name w:val="TOC 3"/>
    <w:pPr>
      <w:tabs>
        <w:tab w:pos="8366" w:val="right" w:leader="dot"/>
      </w:tabs>
      <w:spacing w:before="80" w:after="40"/>
      <w:ind w:left="634"/>
    </w:pPr>
    <w:rPr>
      <w:rFonts w:ascii="Calibri" w:hAnsi="Calibri"/>
      <w:b w:val="0"/>
      <w:color w:val="37415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