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F4E79" w:val="clear"/>
        <w:spacing w:before="0" w:after="60"/>
        <w:jc w:val="center"/>
      </w:pPr>
      <w:r>
        <w:rPr>
          <w:rFonts w:ascii="Arial" w:cs="Arial" w:eastAsia="Arial" w:hAnsi="Arial"/>
          <w:b/>
          <w:bCs/>
          <w:color w:val="FFFFFF"/>
          <w:sz w:val="40"/>
          <w:szCs w:val="40"/>
        </w:rPr>
        <w:t xml:space="preserve">SECURITY INCIDENT REPORT</w:t>
      </w:r>
    </w:p>
    <w:p>
      <w:pPr>
        <w:spacing w:before="0" w:after="400"/>
        <w:jc w:val="center"/>
      </w:pPr>
      <w:r>
        <w:rPr>
          <w:rFonts w:ascii="Arial" w:cs="Arial" w:eastAsia="Arial" w:hAnsi="Arial"/>
          <w:i/>
          <w:iCs/>
          <w:color w:val="2E74B5"/>
          <w:sz w:val="24"/>
          <w:szCs w:val="24"/>
        </w:rPr>
        <w:t xml:space="preserve">DNS Log Analysis — Suspicious Domain Detection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5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8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Incident ID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INC-2026-0307-001</w:t>
            </w:r>
          </w:p>
        </w:tc>
      </w:tr>
      <w:tr>
        <w:tc>
          <w:tcPr>
            <w:tcW w:type="dxa" w:w="28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07, 2026</w:t>
            </w:r>
          </w:p>
        </w:tc>
      </w:tr>
      <w:tr>
        <w:tc>
          <w:tcPr>
            <w:tcW w:type="dxa" w:w="28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Analyst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Kavya Alex — SOC Home Lab</w:t>
            </w:r>
          </w:p>
        </w:tc>
      </w:tr>
      <w:tr>
        <w:tc>
          <w:tcPr>
            <w:tcW w:type="dxa" w:w="28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Severity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Investigated</w:t>
            </w:r>
          </w:p>
        </w:tc>
      </w:tr>
      <w:tr>
        <w:tc>
          <w:tcPr>
            <w:tcW w:type="dxa" w:w="28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Tool Used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Splunk Enterprise 10.2.1</w:t>
            </w:r>
          </w:p>
        </w:tc>
      </w:tr>
      <w:tr>
        <w:tc>
          <w:tcPr>
            <w:tcW w:type="dxa" w:w="28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Environment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Kali Linux VM — VirtualBox Home Lab</w:t>
            </w:r>
          </w:p>
        </w:tc>
      </w:tr>
    </w:tbl>
    <w:p>
      <w:pPr>
        <w:spacing w:before="300"/>
      </w:pPr>
    </w:p>
    <w:p>
      <w:pPr>
        <w:pStyle w:val="Heading1"/>
        <w:pBdr>
          <w:bottom w:val="single" w:color="1F4E79" w:sz="6" w:space="1"/>
        </w:pBdr>
        <w:spacing w:before="300" w:after="15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Executive Summary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During a DNS log analysis exercise using Splunk SIEM, two internal hosts were identified communicating with known malicious domains. The analysis revealed suspicious DNS queries including connections to a Command &amp; Control (C2) server and other malicious domains. This report documents the findings, affected systems, and recommended actions.</w:t>
      </w:r>
    </w:p>
    <w:p>
      <w:pPr>
        <w:spacing w:before="200"/>
      </w:pPr>
    </w:p>
    <w:p>
      <w:pPr>
        <w:pStyle w:val="Heading1"/>
        <w:pBdr>
          <w:bottom w:val="single" w:color="1F4E79" w:sz="6" w:space="1"/>
        </w:pBdr>
        <w:spacing w:before="300" w:after="15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Scope of Analysis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The following data source was analyzed: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Log file: dns_logs.csv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Total events analyzed: 16 DNS log entries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Time range: 2026-03-06 10:01:00 to 10:01:35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Analysis tool: Splunk Enterprise with SPL queries</w:t>
      </w:r>
    </w:p>
    <w:p>
      <w:pPr>
        <w:spacing w:before="200"/>
      </w:pPr>
    </w:p>
    <w:p>
      <w:pPr>
        <w:pStyle w:val="Heading1"/>
        <w:pBdr>
          <w:bottom w:val="single" w:color="1F4E79" w:sz="6" w:space="1"/>
        </w:pBdr>
        <w:spacing w:before="300" w:after="15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Key Findings</w:t>
      </w:r>
    </w:p>
    <w:p>
      <w:pPr>
        <w:pStyle w:val="Heading2"/>
        <w:spacing w:before="200" w:after="100"/>
      </w:pPr>
      <w:r>
        <w:rPr>
          <w:rFonts w:ascii="Arial" w:cs="Arial" w:eastAsia="Arial" w:hAnsi="Arial"/>
          <w:b/>
          <w:bCs/>
          <w:color w:val="2E74B5"/>
          <w:sz w:val="24"/>
          <w:szCs w:val="24"/>
        </w:rPr>
        <w:t xml:space="preserve">3.1 Compromised Hosts Identified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860"/>
        <w:gridCol w:w="3000"/>
      </w:tblGrid>
      <w:tr>
        <w:tc>
          <w:tcPr>
            <w:tcW w:type="dxa" w:w="25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Host IP</w:t>
            </w:r>
          </w:p>
        </w:tc>
        <w:tc>
          <w:tcPr>
            <w:tcW w:type="dxa" w:w="38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Malicious Domains Contacted</w:t>
            </w:r>
          </w:p>
        </w:tc>
        <w:tc>
          <w:tcPr>
            <w:tcW w:type="dxa" w:w="3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 Level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192.168.1.10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malware-c2.ru, suspicious-domain.tk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192.168.1.20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evildomain.xyz, malware-c2.ru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</w:tr>
    </w:tbl>
    <w:p>
      <w:pPr>
        <w:spacing w:before="200"/>
      </w:pPr>
    </w:p>
    <w:p>
      <w:pPr>
        <w:pStyle w:val="Heading2"/>
        <w:spacing w:before="200" w:after="100"/>
      </w:pPr>
      <w:r>
        <w:rPr>
          <w:rFonts w:ascii="Arial" w:cs="Arial" w:eastAsia="Arial" w:hAnsi="Arial"/>
          <w:b/>
          <w:bCs/>
          <w:color w:val="2E74B5"/>
          <w:sz w:val="24"/>
          <w:szCs w:val="24"/>
        </w:rPr>
        <w:t xml:space="preserve">3.2 Malicious Domains Detected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60"/>
        <w:gridCol w:w="5000"/>
      </w:tblGrid>
      <w:tr>
        <w:tc>
          <w:tcPr>
            <w:tcW w:type="dxa" w:w="28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Domain</w:t>
            </w:r>
          </w:p>
        </w:tc>
        <w:tc>
          <w:tcPr>
            <w:tcW w:type="dxa" w:w="15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Count</w:t>
            </w:r>
          </w:p>
        </w:tc>
        <w:tc>
          <w:tcPr>
            <w:tcW w:type="dxa" w:w="5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 Suspicious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malware-c2.ru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C2 in name, .ru TLD, highest frequency, 2 hosts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evildomain.xyz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Suspicious .xyz TLD, malicious naming convention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suspicious-domain.tk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NXDOMAIN response, free .tk domain abuse, C2 beacon</w:t>
            </w:r>
          </w:p>
        </w:tc>
      </w:tr>
    </w:tbl>
    <w:p>
      <w:pPr>
        <w:spacing w:before="200"/>
      </w:pPr>
    </w:p>
    <w:p>
      <w:pPr>
        <w:pStyle w:val="Heading1"/>
        <w:pBdr>
          <w:bottom w:val="single" w:color="1F4E79" w:sz="6" w:space="1"/>
        </w:pBdr>
        <w:spacing w:before="300" w:after="15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MITRE ATT&amp;CK Mapping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The observed behaviours were mapped to the MITRE ATT&amp;CK framework to provide standardised threat classification:</w:t>
      </w:r>
    </w:p>
    <w:p>
      <w:pPr>
        <w:spacing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2160"/>
        <w:gridCol w:w="3000"/>
      </w:tblGrid>
      <w:tr>
        <w:tc>
          <w:tcPr>
            <w:tcW w:type="dxa" w:w="1800"/>
            <w:tcBorders>
              <w:top w:val="single" w:color="7B2D8B" w:sz="1"/>
              <w:left w:val="single" w:color="7B2D8B" w:sz="1"/>
              <w:bottom w:val="single" w:color="7B2D8B" w:sz="1"/>
              <w:right w:val="single" w:color="7B2D8B" w:sz="1"/>
            </w:tcBorders>
            <w:shd w:fill="7B2D8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Technique ID</w:t>
            </w:r>
          </w:p>
        </w:tc>
        <w:tc>
          <w:tcPr>
            <w:tcW w:type="dxa" w:w="2400"/>
            <w:tcBorders>
              <w:top w:val="single" w:color="7B2D8B" w:sz="1"/>
              <w:left w:val="single" w:color="7B2D8B" w:sz="1"/>
              <w:bottom w:val="single" w:color="7B2D8B" w:sz="1"/>
              <w:right w:val="single" w:color="7B2D8B" w:sz="1"/>
            </w:tcBorders>
            <w:shd w:fill="7B2D8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Technique Name</w:t>
            </w:r>
          </w:p>
        </w:tc>
        <w:tc>
          <w:tcPr>
            <w:tcW w:type="dxa" w:w="2160"/>
            <w:tcBorders>
              <w:top w:val="single" w:color="7B2D8B" w:sz="1"/>
              <w:left w:val="single" w:color="7B2D8B" w:sz="1"/>
              <w:bottom w:val="single" w:color="7B2D8B" w:sz="1"/>
              <w:right w:val="single" w:color="7B2D8B" w:sz="1"/>
            </w:tcBorders>
            <w:shd w:fill="7B2D8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Tactic</w:t>
            </w:r>
          </w:p>
        </w:tc>
        <w:tc>
          <w:tcPr>
            <w:tcW w:type="dxa" w:w="3000"/>
            <w:tcBorders>
              <w:top w:val="single" w:color="7B2D8B" w:sz="1"/>
              <w:left w:val="single" w:color="7B2D8B" w:sz="1"/>
              <w:bottom w:val="single" w:color="7B2D8B" w:sz="1"/>
              <w:right w:val="single" w:color="7B2D8B" w:sz="1"/>
            </w:tcBorders>
            <w:shd w:fill="7B2D8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Observed In This Incident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EE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B"/>
                <w:sz w:val="20"/>
                <w:szCs w:val="20"/>
              </w:rPr>
              <w:t xml:space="preserve">T1071.004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Application Layer Protocol: DNS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Command &amp; Control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Hosts used DNS queries to contact malware-c2.ru C2 server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EE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B"/>
                <w:sz w:val="20"/>
                <w:szCs w:val="20"/>
              </w:rPr>
              <w:t xml:space="preserve">T1568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Dynamic Resolution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Command &amp; Control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NXDOMAIN for suspicious-domain.tk indicates dynamic C2 resolution attempt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EE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B"/>
                <w:sz w:val="20"/>
                <w:szCs w:val="20"/>
              </w:rPr>
              <w:t xml:space="preserve">T1071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Application Layer Protocol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Command &amp; Control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Malware using standard DNS protocol to blend in with normal traffic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EE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B"/>
                <w:sz w:val="20"/>
                <w:szCs w:val="20"/>
              </w:rPr>
              <w:t xml:space="preserve">T1048.003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Exfiltration over DNS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Exfiltration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Potential data exfiltration via DNS queries to malicious domains</w:t>
            </w:r>
          </w:p>
        </w:tc>
      </w:tr>
    </w:tbl>
    <w:p>
      <w:pPr>
        <w:spacing w:before="100"/>
      </w:pPr>
    </w:p>
    <w:p>
      <w:pPr>
        <w:spacing w:before="80" w:after="80"/>
      </w:pPr>
      <w:r>
        <w:rPr>
          <w:rFonts w:ascii="Arial" w:cs="Arial" w:eastAsia="Arial" w:hAnsi="Arial"/>
          <w:i/>
          <w:iCs/>
          <w:color w:val="2E74B5"/>
          <w:sz w:val="22"/>
          <w:szCs w:val="22"/>
        </w:rPr>
        <w:t xml:space="preserve">Reference: https://attack.mitre.org</w:t>
      </w:r>
    </w:p>
    <w:p>
      <w:pPr>
        <w:spacing w:before="200"/>
      </w:pPr>
    </w:p>
    <w:p>
      <w:pPr>
        <w:pStyle w:val="Heading1"/>
        <w:pBdr>
          <w:bottom w:val="single" w:color="1F4E79" w:sz="6" w:space="1"/>
        </w:pBdr>
        <w:spacing w:before="300" w:after="15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SPL Queries Used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Query 1 — Retrieve all DNS events:</w:t>
      </w:r>
    </w:p>
    <w:p>
      <w:pPr>
        <w:shd w:fill="F0F0F0" w:val="clear"/>
        <w:spacing w:before="60" w:after="60"/>
      </w:pPr>
      <w:r>
        <w:rPr>
          <w:rFonts w:ascii="Courier New" w:cs="Courier New" w:eastAsia="Courier New" w:hAnsi="Courier New"/>
          <w:color w:val="CC0000"/>
          <w:sz w:val="20"/>
          <w:szCs w:val="20"/>
        </w:rPr>
        <w:t xml:space="preserve">source="dns_logs.csv" sourcetype="csv"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Query 2 — Detect suspicious domain lookups:</w:t>
      </w:r>
    </w:p>
    <w:p>
      <w:pPr>
        <w:shd w:fill="F0F0F0" w:val="clear"/>
        <w:spacing w:before="60" w:after="60"/>
      </w:pPr>
      <w:r>
        <w:rPr>
          <w:rFonts w:ascii="Courier New" w:cs="Courier New" w:eastAsia="Courier New" w:hAnsi="Courier New"/>
          <w:color w:val="CC0000"/>
          <w:sz w:val="20"/>
          <w:szCs w:val="20"/>
        </w:rPr>
        <w:t xml:space="preserve">source="dns_logs.csv" (query="malware-c2.ru" OR query="evildomain.xyz" OR query="suspicious-domain.tk")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Query 3 — Identify compromised hosts:</w:t>
      </w:r>
    </w:p>
    <w:p>
      <w:pPr>
        <w:shd w:fill="F0F0F0" w:val="clear"/>
        <w:spacing w:before="60" w:after="60"/>
      </w:pPr>
      <w:r>
        <w:rPr>
          <w:rFonts w:ascii="Courier New" w:cs="Courier New" w:eastAsia="Courier New" w:hAnsi="Courier New"/>
          <w:color w:val="CC0000"/>
          <w:sz w:val="20"/>
          <w:szCs w:val="20"/>
        </w:rPr>
        <w:t xml:space="preserve">source="dns_logs.csv" (...suspicious domains...) | stats count by src_ip, query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Query 4 — Top queried domains visualization:</w:t>
      </w:r>
    </w:p>
    <w:p>
      <w:pPr>
        <w:shd w:fill="F0F0F0" w:val="clear"/>
        <w:spacing w:before="60" w:after="60"/>
      </w:pPr>
      <w:r>
        <w:rPr>
          <w:rFonts w:ascii="Courier New" w:cs="Courier New" w:eastAsia="Courier New" w:hAnsi="Courier New"/>
          <w:color w:val="CC0000"/>
          <w:sz w:val="20"/>
          <w:szCs w:val="20"/>
        </w:rPr>
        <w:t xml:space="preserve">source="dns_logs.csv" | stats count by query | sort -count</w:t>
      </w:r>
    </w:p>
    <w:p>
      <w:pPr>
        <w:spacing w:before="200"/>
      </w:pPr>
    </w:p>
    <w:p>
      <w:pPr>
        <w:pStyle w:val="Heading1"/>
        <w:pBdr>
          <w:bottom w:val="single" w:color="1F4E79" w:sz="6" w:space="1"/>
        </w:pBdr>
        <w:spacing w:before="300" w:after="15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Recommendations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Immediately isolate hosts 192.168.1.10 and 192.168.1.20 from the network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Block all traffic to malware-c2.ru, evildomain.xyz, and suspicious-domain.tk at the firewall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Run full malware scan on both affected hosts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Implement DNS filtering to block suspicious TLDs (.tk, .xyz) where not business-justified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Create Splunk alert rules to automatically detect future C2 DNS communication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Review all DNS logs for additional NXDOMAIN spikes indicating beacon activity</w:t>
      </w:r>
    </w:p>
    <w:p>
      <w:pPr>
        <w:spacing w:before="200"/>
      </w:pPr>
    </w:p>
    <w:p>
      <w:pPr>
        <w:pStyle w:val="Heading1"/>
        <w:pBdr>
          <w:bottom w:val="single" w:color="1F4E79" w:sz="6" w:space="1"/>
        </w:pBdr>
        <w:spacing w:before="300" w:after="15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 Conclusion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This DNS log analysis successfully identified two compromised internal hosts communicating with malicious domains including a Command &amp; Control (C2) server. Using Splunk Enterprise SIEM and SPL queries, the investigation pinpointed the affected machines and quantified the scope of suspicious activity. Findings were mapped to the MITRE ATT&amp;CK framework (T1071.004, T1568, T1048.003), confirming DNS-based C2 communication and potential exfiltration. Immediate remediation is recommended to prevent further compromise.</w:t>
      </w:r>
    </w:p>
    <w:p>
      <w:pPr>
        <w:spacing w:before="300"/>
      </w:pPr>
    </w:p>
    <w:p>
      <w:pPr>
        <w:pBdr>
          <w:top w:val="single" w:color="1F4E79" w:sz="6" w:space="1"/>
        </w:pBdr>
        <w:spacing w:before="20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Confidential — SOC Home Lab Project | Kavya Alex | March 2026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5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00" w:after="100"/>
      <w:outlineLvl w:val="1"/>
    </w:pPr>
    <w:rPr>
      <w:rFonts w:ascii="Arial" w:cs="Arial" w:eastAsia="Arial" w:hAnsi="Arial"/>
      <w:b/>
      <w:bCs/>
      <w:color w:val="2E74B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2026-03-08T20:49:26.877Z</dcterms:created>
  <dcterms:modified xsi:type="dcterms:W3CDTF">2026-03-08T20:49:26.878Z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