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C961" w14:textId="77777777" w:rsidR="00273E0F" w:rsidRDefault="00273E0F">
      <w:pPr>
        <w:pStyle w:val="Heading1"/>
        <w:spacing w:before="200" w:after="120"/>
        <w:rPr>
          <w:b/>
          <w:bCs/>
          <w:color w:val="1F3864"/>
        </w:rPr>
      </w:pPr>
    </w:p>
    <w:p w14:paraId="5F056CAB" w14:textId="77777777" w:rsidR="00273E0F" w:rsidRPr="00273E0F" w:rsidRDefault="00273E0F" w:rsidP="00273E0F">
      <w:pPr>
        <w:spacing w:line="259" w:lineRule="auto"/>
        <w:ind w:left="19"/>
        <w:jc w:val="center"/>
      </w:pPr>
      <w:r w:rsidRPr="00273E0F">
        <w:rPr>
          <w:b/>
          <w:sz w:val="30"/>
        </w:rPr>
        <w:t>SIMATS ENGINEERING</w:t>
      </w:r>
      <w:r w:rsidRPr="00273E0F">
        <w:t xml:space="preserve"> </w:t>
      </w:r>
    </w:p>
    <w:p w14:paraId="6E26B4FC" w14:textId="77777777" w:rsidR="00273E0F" w:rsidRPr="00273E0F" w:rsidRDefault="00273E0F" w:rsidP="00273E0F">
      <w:pPr>
        <w:spacing w:line="259" w:lineRule="auto"/>
        <w:ind w:left="19"/>
        <w:jc w:val="center"/>
      </w:pPr>
      <w:r w:rsidRPr="00273E0F">
        <w:rPr>
          <w:b/>
        </w:rPr>
        <w:t>ASSESSMENT TOOL 3: Reverse Engineering Task</w:t>
      </w:r>
      <w:r w:rsidRPr="00273E0F">
        <w:t xml:space="preserve"> </w:t>
      </w:r>
    </w:p>
    <w:p w14:paraId="5DFA11B8" w14:textId="77777777" w:rsidR="00273E0F" w:rsidRPr="00273E0F" w:rsidRDefault="00273E0F" w:rsidP="00273E0F">
      <w:pPr>
        <w:spacing w:after="57" w:line="259" w:lineRule="auto"/>
      </w:pPr>
      <w:r w:rsidRPr="00273E0F">
        <w:t xml:space="preserve"> </w:t>
      </w:r>
    </w:p>
    <w:p w14:paraId="5D86A884" w14:textId="77777777" w:rsidR="00273E0F" w:rsidRPr="00273E0F" w:rsidRDefault="00273E0F" w:rsidP="00273E0F">
      <w:pPr>
        <w:tabs>
          <w:tab w:val="center" w:pos="3587"/>
          <w:tab w:val="center" w:pos="6008"/>
          <w:tab w:val="center" w:pos="8034"/>
        </w:tabs>
        <w:spacing w:line="259" w:lineRule="auto"/>
      </w:pPr>
      <w:r w:rsidRPr="00273E0F">
        <w:rPr>
          <w:b/>
          <w:sz w:val="23"/>
        </w:rPr>
        <w:t>COURSE NAME:</w:t>
      </w:r>
      <w:r w:rsidRPr="00273E0F">
        <w:t xml:space="preserve"> </w:t>
      </w:r>
      <w:r w:rsidRPr="00273E0F">
        <w:tab/>
      </w:r>
      <w:r w:rsidRPr="00273E0F">
        <w:rPr>
          <w:sz w:val="23"/>
        </w:rPr>
        <w:t xml:space="preserve">Cloud Computing and </w:t>
      </w:r>
      <w:r w:rsidRPr="00273E0F">
        <w:rPr>
          <w:sz w:val="23"/>
        </w:rPr>
        <w:tab/>
      </w:r>
      <w:r w:rsidRPr="00273E0F">
        <w:rPr>
          <w:b/>
          <w:sz w:val="23"/>
        </w:rPr>
        <w:t>COURSE CODE:</w:t>
      </w:r>
      <w:r w:rsidRPr="00273E0F">
        <w:t xml:space="preserve"> </w:t>
      </w:r>
      <w:r w:rsidRPr="00273E0F">
        <w:tab/>
      </w:r>
      <w:r w:rsidRPr="00273E0F">
        <w:rPr>
          <w:sz w:val="23"/>
        </w:rPr>
        <w:t>CSA15</w:t>
      </w:r>
      <w:r w:rsidRPr="00273E0F">
        <w:t xml:space="preserve"> </w:t>
      </w:r>
    </w:p>
    <w:p w14:paraId="11FBC6A5" w14:textId="77777777" w:rsidR="00273E0F" w:rsidRPr="00273E0F" w:rsidRDefault="00273E0F" w:rsidP="00273E0F">
      <w:pPr>
        <w:spacing w:line="259" w:lineRule="auto"/>
        <w:ind w:left="2565"/>
      </w:pPr>
      <w:r w:rsidRPr="00273E0F">
        <w:rPr>
          <w:sz w:val="23"/>
        </w:rPr>
        <w:t>Big Data Analytics</w:t>
      </w:r>
      <w:r w:rsidRPr="00273E0F">
        <w:t xml:space="preserve"> </w:t>
      </w:r>
    </w:p>
    <w:p w14:paraId="030050A2" w14:textId="77777777" w:rsidR="00273E0F" w:rsidRPr="00273E0F" w:rsidRDefault="00273E0F" w:rsidP="00273E0F">
      <w:pPr>
        <w:spacing w:after="216" w:line="259" w:lineRule="auto"/>
      </w:pPr>
      <w:r w:rsidRPr="00273E0F">
        <w:t xml:space="preserve"> </w:t>
      </w:r>
    </w:p>
    <w:p w14:paraId="3E21FC2B" w14:textId="77777777" w:rsidR="00273E0F" w:rsidRPr="00273E0F" w:rsidRDefault="00273E0F" w:rsidP="00273E0F">
      <w:pPr>
        <w:spacing w:line="259" w:lineRule="auto"/>
      </w:pPr>
      <w:r w:rsidRPr="00273E0F">
        <w:t xml:space="preserve"> </w:t>
      </w:r>
    </w:p>
    <w:p w14:paraId="38D3C2A2" w14:textId="77777777" w:rsidR="00273E0F" w:rsidRPr="00273E0F" w:rsidRDefault="00273E0F" w:rsidP="00273E0F">
      <w:pPr>
        <w:spacing w:after="301" w:line="259" w:lineRule="auto"/>
        <w:ind w:right="-19"/>
      </w:pPr>
      <w:r w:rsidRPr="00273E0F">
        <w:rPr>
          <w:rFonts w:ascii="Calibri" w:eastAsia="Calibri" w:hAnsi="Calibri" w:cs="Calibri"/>
          <w:noProof/>
        </w:rPr>
        <mc:AlternateContent>
          <mc:Choice Requires="wpg">
            <w:drawing>
              <wp:inline distT="0" distB="0" distL="0" distR="0" wp14:anchorId="02905219" wp14:editId="75AA282D">
                <wp:extent cx="6502400" cy="12700"/>
                <wp:effectExtent l="0" t="0" r="0" b="0"/>
                <wp:docPr id="5029" name="Group 5029"/>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13" name="Shape 13"/>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4F377FB3" id="Group 5029"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">
                <v:shape id="Shape 13" o:spid="_x0000_s1027" style="position:absolute;width:65024;height:0;visibility:visible;mso-wrap-style:square;v-text-anchor:top" coordsize="650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" path="m,l6502400,e" filled="f" strokecolor="#a6a6a6" strokeweight="1pt">
                  <v:stroke miterlimit="83231f" joinstyle="miter"/>
                  <v:path arrowok="t" textboxrect="0,0,6502400,0"/>
                </v:shape>
                <w10:anchorlock/>
              </v:group>
            </w:pict>
          </mc:Fallback>
        </mc:AlternateContent>
      </w:r>
    </w:p>
    <w:p w14:paraId="2EDE967F" w14:textId="77777777" w:rsidR="00273E0F" w:rsidRPr="00273E0F" w:rsidRDefault="00273E0F" w:rsidP="00273E0F">
      <w:pPr>
        <w:pStyle w:val="Heading1"/>
        <w:ind w:left="-5"/>
        <w:rPr>
          <w:color w:val="auto"/>
        </w:rPr>
      </w:pPr>
      <w:r w:rsidRPr="00273E0F">
        <w:rPr>
          <w:color w:val="auto"/>
        </w:rPr>
        <w:t xml:space="preserve">COURSE OUTCOME COVERED </w:t>
      </w:r>
    </w:p>
    <w:p w14:paraId="2C405137" w14:textId="77777777" w:rsidR="00273E0F" w:rsidRPr="00273E0F" w:rsidRDefault="00273E0F" w:rsidP="00273E0F">
      <w:pPr>
        <w:spacing w:after="16" w:line="259" w:lineRule="auto"/>
      </w:pPr>
      <w:r w:rsidRPr="00273E0F">
        <w:rPr>
          <w:b/>
        </w:rPr>
        <w:t xml:space="preserve">CO4: </w:t>
      </w:r>
      <w:proofErr w:type="spellStart"/>
      <w:r w:rsidRPr="00273E0F">
        <w:rPr>
          <w:i/>
        </w:rPr>
        <w:t>Analyze</w:t>
      </w:r>
      <w:proofErr w:type="spellEnd"/>
      <w:r w:rsidRPr="00273E0F">
        <w:rPr>
          <w:i/>
        </w:rPr>
        <w:t xml:space="preserve"> big data characteristics and challenges across domains including security and application aspects.</w:t>
      </w:r>
      <w:r w:rsidRPr="00273E0F">
        <w:t xml:space="preserve"> </w:t>
      </w:r>
    </w:p>
    <w:p w14:paraId="3A7884F8" w14:textId="77777777" w:rsidR="00273E0F" w:rsidRPr="00273E0F" w:rsidRDefault="00273E0F" w:rsidP="00273E0F">
      <w:pPr>
        <w:spacing w:after="128"/>
        <w:ind w:left="-5"/>
      </w:pPr>
      <w:r w:rsidRPr="00273E0F">
        <w:t xml:space="preserve">(BL4) </w:t>
      </w:r>
    </w:p>
    <w:p w14:paraId="3C91FDB4" w14:textId="77777777" w:rsidR="00273E0F" w:rsidRPr="00273E0F" w:rsidRDefault="00273E0F" w:rsidP="00273E0F">
      <w:pPr>
        <w:ind w:left="-5"/>
      </w:pPr>
      <w:r w:rsidRPr="00273E0F">
        <w:t xml:space="preserve">Assessment Tool Weightage: 10% </w:t>
      </w:r>
    </w:p>
    <w:p w14:paraId="47BEB38A" w14:textId="77777777" w:rsidR="00273E0F" w:rsidRPr="00273E0F" w:rsidRDefault="00273E0F" w:rsidP="00273E0F">
      <w:pPr>
        <w:spacing w:after="46" w:line="259" w:lineRule="auto"/>
      </w:pPr>
      <w:r w:rsidRPr="00273E0F">
        <w:t xml:space="preserve"> </w:t>
      </w:r>
    </w:p>
    <w:p w14:paraId="79FA841B" w14:textId="77777777" w:rsidR="00273E0F" w:rsidRPr="00273E0F" w:rsidRDefault="00273E0F" w:rsidP="00273E0F">
      <w:pPr>
        <w:tabs>
          <w:tab w:val="center" w:pos="9267"/>
        </w:tabs>
        <w:ind w:left="-15"/>
      </w:pPr>
      <w:r w:rsidRPr="00273E0F">
        <w:t xml:space="preserve">Dave's Taxonomy: Articulation (Level 4) </w:t>
      </w:r>
      <w:r w:rsidRPr="00273E0F">
        <w:tab/>
      </w:r>
      <w:r w:rsidRPr="00273E0F">
        <w:rPr>
          <w:b/>
        </w:rPr>
        <w:t>Total Marks: 30</w:t>
      </w:r>
      <w:r w:rsidRPr="00273E0F">
        <w:t xml:space="preserve"> </w:t>
      </w:r>
    </w:p>
    <w:p w14:paraId="1AAAEAE2" w14:textId="77777777" w:rsidR="00273E0F" w:rsidRPr="00273E0F" w:rsidRDefault="00273E0F" w:rsidP="00273E0F">
      <w:pPr>
        <w:ind w:left="-5"/>
      </w:pPr>
      <w:r w:rsidRPr="00273E0F">
        <w:t xml:space="preserve">Question Count: 5 </w:t>
      </w:r>
    </w:p>
    <w:p w14:paraId="2A01A94F" w14:textId="77777777" w:rsidR="00273E0F" w:rsidRPr="00273E0F" w:rsidRDefault="00273E0F" w:rsidP="00273E0F">
      <w:pPr>
        <w:spacing w:after="216" w:line="259" w:lineRule="auto"/>
      </w:pPr>
      <w:r w:rsidRPr="00273E0F">
        <w:t xml:space="preserve"> </w:t>
      </w:r>
    </w:p>
    <w:p w14:paraId="1CC900EF" w14:textId="77777777" w:rsidR="00273E0F" w:rsidRPr="00273E0F" w:rsidRDefault="00273E0F" w:rsidP="00273E0F">
      <w:pPr>
        <w:spacing w:line="259" w:lineRule="auto"/>
      </w:pPr>
      <w:r w:rsidRPr="00273E0F">
        <w:t xml:space="preserve"> </w:t>
      </w:r>
    </w:p>
    <w:p w14:paraId="6635A45E" w14:textId="77777777" w:rsidR="00273E0F" w:rsidRPr="00273E0F" w:rsidRDefault="00273E0F" w:rsidP="00273E0F">
      <w:pPr>
        <w:spacing w:after="260" w:line="259" w:lineRule="auto"/>
        <w:ind w:right="-19"/>
      </w:pPr>
      <w:r w:rsidRPr="00273E0F">
        <w:rPr>
          <w:rFonts w:ascii="Calibri" w:eastAsia="Calibri" w:hAnsi="Calibri" w:cs="Calibri"/>
          <w:noProof/>
        </w:rPr>
        <mc:AlternateContent>
          <mc:Choice Requires="wpg">
            <w:drawing>
              <wp:inline distT="0" distB="0" distL="0" distR="0" wp14:anchorId="1BD42ECD" wp14:editId="361440F8">
                <wp:extent cx="6502400" cy="12700"/>
                <wp:effectExtent l="0" t="0" r="0" b="0"/>
                <wp:docPr id="5030" name="Group 5030"/>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14" name="Shape 14"/>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06140C1A" id="Group 5030"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">
                <v:shape id="Shape 14" o:spid="_x0000_s1027" style="position:absolute;width:65024;height:0;visibility:visible;mso-wrap-style:square;v-text-anchor:top" coordsize="650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" path="m,l6502400,e" filled="f" strokecolor="#a6a6a6" strokeweight="1pt">
                  <v:stroke miterlimit="83231f" joinstyle="miter"/>
                  <v:path arrowok="t" textboxrect="0,0,6502400,0"/>
                </v:shape>
                <w10:anchorlock/>
              </v:group>
            </w:pict>
          </mc:Fallback>
        </mc:AlternateContent>
      </w:r>
    </w:p>
    <w:p w14:paraId="32EF984B" w14:textId="77777777" w:rsidR="00273E0F" w:rsidRPr="00273E0F" w:rsidRDefault="00273E0F" w:rsidP="00273E0F">
      <w:pPr>
        <w:pStyle w:val="Heading1"/>
        <w:ind w:left="-5"/>
        <w:rPr>
          <w:b/>
          <w:bCs/>
          <w:color w:val="auto"/>
          <w:sz w:val="28"/>
          <w:szCs w:val="28"/>
        </w:rPr>
      </w:pPr>
      <w:r w:rsidRPr="00273E0F">
        <w:rPr>
          <w:b/>
          <w:bCs/>
          <w:color w:val="auto"/>
          <w:sz w:val="28"/>
          <w:szCs w:val="28"/>
        </w:rPr>
        <w:t xml:space="preserve">Code of Conduct </w:t>
      </w:r>
    </w:p>
    <w:tbl>
      <w:tblPr>
        <w:tblStyle w:val="TableGrid"/>
        <w:tblpPr w:vertAnchor="page" w:horzAnchor="page" w:tblpX="890" w:tblpY="13052"/>
        <w:tblOverlap w:val="never"/>
        <w:tblW w:w="10260" w:type="dxa"/>
        <w:tblInd w:w="0" w:type="dxa"/>
        <w:tblCellMar>
          <w:top w:w="59" w:type="dxa"/>
          <w:left w:w="100" w:type="dxa"/>
          <w:bottom w:w="0" w:type="dxa"/>
          <w:right w:w="115" w:type="dxa"/>
        </w:tblCellMar>
        <w:tblLook w:val="04A0" w:firstRow="1" w:lastRow="0" w:firstColumn="1" w:lastColumn="0" w:noHBand="0" w:noVBand="1"/>
      </w:tblPr>
      <w:tblGrid>
        <w:gridCol w:w="1720"/>
        <w:gridCol w:w="1700"/>
        <w:gridCol w:w="1720"/>
        <w:gridCol w:w="1700"/>
        <w:gridCol w:w="1720"/>
        <w:gridCol w:w="1700"/>
      </w:tblGrid>
      <w:tr w:rsidR="00273E0F" w:rsidRPr="00273E0F" w14:paraId="05B7A1ED" w14:textId="77777777" w:rsidTr="00973328">
        <w:trPr>
          <w:trHeight w:val="480"/>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2CB24F89" w14:textId="77777777" w:rsidR="00273E0F" w:rsidRPr="00273E0F" w:rsidRDefault="00273E0F" w:rsidP="00973328">
            <w:pPr>
              <w:spacing w:line="259" w:lineRule="auto"/>
            </w:pPr>
            <w:r w:rsidRPr="00273E0F">
              <w:rPr>
                <w:rFonts w:ascii="Times New Roman" w:eastAsia="Times New Roman" w:hAnsi="Times New Roman" w:cs="Times New Roman"/>
                <w:b/>
                <w:sz w:val="20"/>
              </w:rPr>
              <w:t>Criteria</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4FA20FE3" w14:textId="77777777" w:rsidR="00273E0F" w:rsidRPr="00273E0F" w:rsidRDefault="00273E0F" w:rsidP="00973328">
            <w:pPr>
              <w:spacing w:line="259" w:lineRule="auto"/>
            </w:pPr>
            <w:r w:rsidRPr="00273E0F">
              <w:rPr>
                <w:rFonts w:ascii="Times New Roman" w:eastAsia="Times New Roman" w:hAnsi="Times New Roman" w:cs="Times New Roman"/>
                <w:b/>
                <w:sz w:val="20"/>
              </w:rPr>
              <w:t>Weightage</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17485E7E" w14:textId="77777777" w:rsidR="00273E0F" w:rsidRPr="00273E0F" w:rsidRDefault="00273E0F" w:rsidP="00973328">
            <w:pPr>
              <w:spacing w:line="259" w:lineRule="auto"/>
            </w:pPr>
            <w:r w:rsidRPr="00273E0F">
              <w:rPr>
                <w:rFonts w:ascii="Times New Roman" w:eastAsia="Times New Roman" w:hAnsi="Times New Roman" w:cs="Times New Roman"/>
                <w:b/>
                <w:sz w:val="20"/>
              </w:rPr>
              <w:t xml:space="preserve">Level 4 - </w:t>
            </w:r>
          </w:p>
          <w:p w14:paraId="4E5DD83F" w14:textId="77777777" w:rsidR="00273E0F" w:rsidRPr="00273E0F" w:rsidRDefault="00273E0F" w:rsidP="00973328">
            <w:pPr>
              <w:spacing w:line="259" w:lineRule="auto"/>
            </w:pPr>
            <w:r w:rsidRPr="00273E0F">
              <w:rPr>
                <w:rFonts w:ascii="Times New Roman" w:eastAsia="Times New Roman" w:hAnsi="Times New Roman" w:cs="Times New Roman"/>
                <w:b/>
                <w:sz w:val="20"/>
              </w:rPr>
              <w:t>Exemplary</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13DC5E0" w14:textId="77777777" w:rsidR="00273E0F" w:rsidRPr="00273E0F" w:rsidRDefault="00273E0F" w:rsidP="00973328">
            <w:pPr>
              <w:spacing w:line="259" w:lineRule="auto"/>
            </w:pPr>
            <w:r w:rsidRPr="00273E0F">
              <w:rPr>
                <w:rFonts w:ascii="Times New Roman" w:eastAsia="Times New Roman" w:hAnsi="Times New Roman" w:cs="Times New Roman"/>
                <w:b/>
                <w:sz w:val="20"/>
              </w:rPr>
              <w:t xml:space="preserve">Level 3 - </w:t>
            </w:r>
          </w:p>
          <w:p w14:paraId="39DCE5D0" w14:textId="77777777" w:rsidR="00273E0F" w:rsidRPr="00273E0F" w:rsidRDefault="00273E0F" w:rsidP="00973328">
            <w:pPr>
              <w:spacing w:line="259" w:lineRule="auto"/>
            </w:pPr>
            <w:r w:rsidRPr="00273E0F">
              <w:rPr>
                <w:rFonts w:ascii="Times New Roman" w:eastAsia="Times New Roman" w:hAnsi="Times New Roman" w:cs="Times New Roman"/>
                <w:b/>
                <w:sz w:val="20"/>
              </w:rPr>
              <w:t>Proficient</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A692252" w14:textId="77777777" w:rsidR="00273E0F" w:rsidRPr="00273E0F" w:rsidRDefault="00273E0F" w:rsidP="00973328">
            <w:pPr>
              <w:spacing w:line="259" w:lineRule="auto"/>
            </w:pPr>
            <w:r w:rsidRPr="00273E0F">
              <w:rPr>
                <w:rFonts w:ascii="Times New Roman" w:eastAsia="Times New Roman" w:hAnsi="Times New Roman" w:cs="Times New Roman"/>
                <w:b/>
                <w:sz w:val="20"/>
              </w:rPr>
              <w:t xml:space="preserve">Level 2 - </w:t>
            </w:r>
          </w:p>
          <w:p w14:paraId="5E568D36" w14:textId="77777777" w:rsidR="00273E0F" w:rsidRPr="00273E0F" w:rsidRDefault="00273E0F" w:rsidP="00973328">
            <w:pPr>
              <w:spacing w:line="259" w:lineRule="auto"/>
            </w:pPr>
            <w:r w:rsidRPr="00273E0F">
              <w:rPr>
                <w:rFonts w:ascii="Times New Roman" w:eastAsia="Times New Roman" w:hAnsi="Times New Roman" w:cs="Times New Roman"/>
                <w:b/>
                <w:sz w:val="20"/>
              </w:rPr>
              <w:t>Developing</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9744043" w14:textId="77777777" w:rsidR="00273E0F" w:rsidRPr="00273E0F" w:rsidRDefault="00273E0F" w:rsidP="00973328">
            <w:pPr>
              <w:spacing w:line="259" w:lineRule="auto"/>
            </w:pPr>
            <w:r w:rsidRPr="00273E0F">
              <w:rPr>
                <w:rFonts w:ascii="Times New Roman" w:eastAsia="Times New Roman" w:hAnsi="Times New Roman" w:cs="Times New Roman"/>
                <w:b/>
                <w:sz w:val="20"/>
              </w:rPr>
              <w:t xml:space="preserve">Level 1 - </w:t>
            </w:r>
          </w:p>
          <w:p w14:paraId="3BD2168B" w14:textId="77777777" w:rsidR="00273E0F" w:rsidRPr="00273E0F" w:rsidRDefault="00273E0F" w:rsidP="00973328">
            <w:pPr>
              <w:spacing w:line="259" w:lineRule="auto"/>
            </w:pPr>
            <w:r w:rsidRPr="00273E0F">
              <w:rPr>
                <w:rFonts w:ascii="Times New Roman" w:eastAsia="Times New Roman" w:hAnsi="Times New Roman" w:cs="Times New Roman"/>
                <w:b/>
                <w:sz w:val="20"/>
              </w:rPr>
              <w:t>Beginning</w:t>
            </w:r>
            <w:r w:rsidRPr="00273E0F">
              <w:t xml:space="preserve"> </w:t>
            </w:r>
          </w:p>
        </w:tc>
      </w:tr>
      <w:tr w:rsidR="00273E0F" w:rsidRPr="00273E0F" w14:paraId="3CEEA4E3" w14:textId="77777777" w:rsidTr="00973328">
        <w:trPr>
          <w:trHeight w:val="938"/>
        </w:trPr>
        <w:tc>
          <w:tcPr>
            <w:tcW w:w="1720" w:type="dxa"/>
            <w:tcBorders>
              <w:top w:val="single" w:sz="8" w:space="0" w:color="000000"/>
              <w:left w:val="single" w:sz="8" w:space="0" w:color="000000"/>
              <w:bottom w:val="single" w:sz="8" w:space="0" w:color="000000"/>
              <w:right w:val="single" w:sz="8" w:space="0" w:color="000000"/>
            </w:tcBorders>
          </w:tcPr>
          <w:p w14:paraId="70CBA2E3" w14:textId="77777777" w:rsidR="00273E0F" w:rsidRPr="00273E0F" w:rsidRDefault="00273E0F" w:rsidP="00973328">
            <w:pPr>
              <w:spacing w:line="259" w:lineRule="auto"/>
            </w:pPr>
            <w:r w:rsidRPr="00273E0F">
              <w:rPr>
                <w:sz w:val="20"/>
              </w:rPr>
              <w:lastRenderedPageBreak/>
              <w:t>Inference Accuracy</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F34DB98" w14:textId="77777777" w:rsidR="00273E0F" w:rsidRPr="00273E0F" w:rsidRDefault="00273E0F" w:rsidP="00973328">
            <w:pPr>
              <w:spacing w:line="259" w:lineRule="auto"/>
            </w:pPr>
            <w:r w:rsidRPr="00273E0F">
              <w:rPr>
                <w:sz w:val="20"/>
              </w:rPr>
              <w:t>25%</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9D93D3F" w14:textId="77777777" w:rsidR="00273E0F" w:rsidRPr="00273E0F" w:rsidRDefault="00273E0F" w:rsidP="00973328">
            <w:pPr>
              <w:spacing w:line="259" w:lineRule="auto"/>
            </w:pPr>
            <w:r w:rsidRPr="00273E0F">
              <w:rPr>
                <w:sz w:val="20"/>
              </w:rPr>
              <w:t>Infers system components and flow with high accuracy</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E0F6A5C" w14:textId="77777777" w:rsidR="00273E0F" w:rsidRPr="00273E0F" w:rsidRDefault="00273E0F" w:rsidP="00973328">
            <w:pPr>
              <w:spacing w:line="259" w:lineRule="auto"/>
            </w:pPr>
            <w:r w:rsidRPr="00273E0F">
              <w:rPr>
                <w:sz w:val="20"/>
              </w:rPr>
              <w:t>Mostly accurate inference</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0702869" w14:textId="77777777" w:rsidR="00273E0F" w:rsidRPr="00273E0F" w:rsidRDefault="00273E0F" w:rsidP="00973328">
            <w:pPr>
              <w:spacing w:line="259" w:lineRule="auto"/>
            </w:pPr>
            <w:r w:rsidRPr="00273E0F">
              <w:rPr>
                <w:sz w:val="20"/>
              </w:rPr>
              <w:t>Basic inference</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9CB0795" w14:textId="77777777" w:rsidR="00273E0F" w:rsidRPr="00273E0F" w:rsidRDefault="00273E0F" w:rsidP="00973328">
            <w:pPr>
              <w:spacing w:line="259" w:lineRule="auto"/>
            </w:pPr>
            <w:r w:rsidRPr="00273E0F">
              <w:rPr>
                <w:sz w:val="20"/>
              </w:rPr>
              <w:t>Weak inference</w:t>
            </w:r>
            <w:r w:rsidRPr="00273E0F">
              <w:t xml:space="preserve"> </w:t>
            </w:r>
          </w:p>
        </w:tc>
      </w:tr>
      <w:tr w:rsidR="00273E0F" w:rsidRPr="00273E0F" w14:paraId="2430DA6F" w14:textId="77777777" w:rsidTr="00973328">
        <w:trPr>
          <w:trHeight w:val="480"/>
        </w:trPr>
        <w:tc>
          <w:tcPr>
            <w:tcW w:w="1720" w:type="dxa"/>
            <w:tcBorders>
              <w:top w:val="single" w:sz="8" w:space="0" w:color="000000"/>
              <w:left w:val="single" w:sz="8" w:space="0" w:color="000000"/>
              <w:bottom w:val="single" w:sz="8" w:space="0" w:color="000000"/>
              <w:right w:val="single" w:sz="8" w:space="0" w:color="000000"/>
            </w:tcBorders>
          </w:tcPr>
          <w:p w14:paraId="2A38766D" w14:textId="77777777" w:rsidR="00273E0F" w:rsidRPr="00273E0F" w:rsidRDefault="00273E0F" w:rsidP="00973328">
            <w:pPr>
              <w:spacing w:line="259" w:lineRule="auto"/>
            </w:pPr>
            <w:r w:rsidRPr="00273E0F">
              <w:rPr>
                <w:sz w:val="20"/>
              </w:rPr>
              <w:t>Understanding of Architecture</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32404E5" w14:textId="77777777" w:rsidR="00273E0F" w:rsidRPr="00273E0F" w:rsidRDefault="00273E0F" w:rsidP="00973328">
            <w:pPr>
              <w:spacing w:line="259" w:lineRule="auto"/>
            </w:pPr>
            <w:r w:rsidRPr="00273E0F">
              <w:rPr>
                <w:sz w:val="20"/>
              </w:rPr>
              <w:t>25%</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27DCA21B" w14:textId="77777777" w:rsidR="00273E0F" w:rsidRPr="00273E0F" w:rsidRDefault="00273E0F" w:rsidP="00973328">
            <w:pPr>
              <w:spacing w:line="259" w:lineRule="auto"/>
            </w:pPr>
            <w:r w:rsidRPr="00273E0F">
              <w:rPr>
                <w:sz w:val="20"/>
              </w:rPr>
              <w:t xml:space="preserve">Shows clear understanding of </w:t>
            </w:r>
          </w:p>
        </w:tc>
        <w:tc>
          <w:tcPr>
            <w:tcW w:w="1700" w:type="dxa"/>
            <w:tcBorders>
              <w:top w:val="single" w:sz="8" w:space="0" w:color="000000"/>
              <w:left w:val="single" w:sz="8" w:space="0" w:color="000000"/>
              <w:bottom w:val="single" w:sz="8" w:space="0" w:color="000000"/>
              <w:right w:val="single" w:sz="8" w:space="0" w:color="000000"/>
            </w:tcBorders>
          </w:tcPr>
          <w:p w14:paraId="5643A246" w14:textId="77777777" w:rsidR="00273E0F" w:rsidRPr="00273E0F" w:rsidRDefault="00273E0F" w:rsidP="00973328">
            <w:pPr>
              <w:spacing w:line="259" w:lineRule="auto"/>
            </w:pPr>
            <w:r w:rsidRPr="00273E0F">
              <w:rPr>
                <w:sz w:val="20"/>
              </w:rPr>
              <w:t>Good understanding</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BB547AB" w14:textId="77777777" w:rsidR="00273E0F" w:rsidRPr="00273E0F" w:rsidRDefault="00273E0F" w:rsidP="00973328">
            <w:pPr>
              <w:spacing w:line="259" w:lineRule="auto"/>
            </w:pPr>
            <w:r w:rsidRPr="00273E0F">
              <w:rPr>
                <w:sz w:val="20"/>
              </w:rPr>
              <w:t>Partial understanding</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48B6F11" w14:textId="77777777" w:rsidR="00273E0F" w:rsidRPr="00273E0F" w:rsidRDefault="00273E0F" w:rsidP="00973328">
            <w:pPr>
              <w:spacing w:line="259" w:lineRule="auto"/>
            </w:pPr>
            <w:r w:rsidRPr="00273E0F">
              <w:rPr>
                <w:sz w:val="20"/>
              </w:rPr>
              <w:t>Poor understanding</w:t>
            </w:r>
            <w:r w:rsidRPr="00273E0F">
              <w:t xml:space="preserve"> </w:t>
            </w:r>
          </w:p>
        </w:tc>
      </w:tr>
    </w:tbl>
    <w:p w14:paraId="0138A686" w14:textId="5BB172C3" w:rsidR="00273E0F" w:rsidRPr="00273E0F" w:rsidRDefault="00273E0F" w:rsidP="00273E0F">
      <w:pPr>
        <w:ind w:left="-5"/>
      </w:pPr>
      <w:r w:rsidRPr="00273E0F">
        <w:t xml:space="preserve">I </w:t>
      </w:r>
      <w:r>
        <w:t>Kavya Sree T (192524444)</w:t>
      </w:r>
      <w:r w:rsidRPr="00273E0F">
        <w:t xml:space="preserve"> (Name / Reg No) certify that this submission is my original work and that I have adhered to the guidelines specified for this assessment. </w:t>
      </w:r>
    </w:p>
    <w:p w14:paraId="7559201E" w14:textId="24D090A2" w:rsidR="00273E0F" w:rsidRPr="00273E0F" w:rsidRDefault="00273E0F" w:rsidP="00273E0F">
      <w:pPr>
        <w:ind w:left="-5" w:right="1326"/>
      </w:pPr>
      <w:r w:rsidRPr="00273E0F">
        <w:t xml:space="preserve">I understand that any violation of academic integrity rules will result in disciplinary action. Signature of the student: </w:t>
      </w:r>
      <w:r>
        <w:t>Kavya Sree T</w:t>
      </w:r>
    </w:p>
    <w:p w14:paraId="77321D00" w14:textId="77777777" w:rsidR="00273E0F" w:rsidRPr="00273E0F" w:rsidRDefault="00273E0F" w:rsidP="00273E0F">
      <w:pPr>
        <w:spacing w:after="21" w:line="259" w:lineRule="auto"/>
        <w:rPr>
          <w:b/>
          <w:bCs/>
          <w:sz w:val="22"/>
          <w:szCs w:val="22"/>
        </w:rPr>
      </w:pPr>
      <w:r w:rsidRPr="00273E0F">
        <w:t xml:space="preserve"> </w:t>
      </w:r>
    </w:p>
    <w:p w14:paraId="588F895A" w14:textId="77777777" w:rsidR="00273E0F" w:rsidRDefault="00273E0F" w:rsidP="00273E0F">
      <w:pPr>
        <w:pStyle w:val="Heading1"/>
        <w:ind w:left="-5"/>
        <w:rPr>
          <w:b/>
          <w:bCs/>
          <w:color w:val="auto"/>
          <w:sz w:val="28"/>
          <w:szCs w:val="28"/>
        </w:rPr>
      </w:pPr>
      <w:r w:rsidRPr="00273E0F">
        <w:rPr>
          <w:b/>
          <w:bCs/>
          <w:color w:val="auto"/>
          <w:sz w:val="28"/>
          <w:szCs w:val="28"/>
        </w:rPr>
        <w:t xml:space="preserve">Assessment Tasks Reverse Engineering Task </w:t>
      </w:r>
    </w:p>
    <w:p w14:paraId="177AD1D8" w14:textId="77777777" w:rsidR="00273E0F" w:rsidRPr="00273E0F" w:rsidRDefault="00273E0F" w:rsidP="00273E0F">
      <w:pPr>
        <w:pStyle w:val="Heading1"/>
        <w:ind w:left="-5"/>
        <w:rPr>
          <w:b/>
          <w:bCs/>
          <w:color w:val="auto"/>
          <w:sz w:val="28"/>
          <w:szCs w:val="28"/>
        </w:rPr>
      </w:pPr>
    </w:p>
    <w:p w14:paraId="15952162" w14:textId="77777777" w:rsidR="00273E0F" w:rsidRPr="00273E0F" w:rsidRDefault="00273E0F" w:rsidP="00273E0F">
      <w:pPr>
        <w:ind w:left="-5"/>
      </w:pPr>
      <w:r w:rsidRPr="00273E0F">
        <w:t xml:space="preserve">For each task, study the described big data solution, infer how it was built, identify the underlying components, and explain what design decisions were likely made. </w:t>
      </w:r>
    </w:p>
    <w:p w14:paraId="152E5E5B" w14:textId="77777777" w:rsidR="00273E0F" w:rsidRPr="00273E0F" w:rsidRDefault="00273E0F" w:rsidP="00273E0F">
      <w:pPr>
        <w:numPr>
          <w:ilvl w:val="0"/>
          <w:numId w:val="2"/>
        </w:numPr>
        <w:spacing w:after="9" w:line="268" w:lineRule="auto"/>
      </w:pPr>
      <w:r w:rsidRPr="00273E0F">
        <w:t xml:space="preserve">A recommendation engine processes user clicks, search queries, and purchases from multiple devices. Reverse engineer the probable data types, ingestion flow, and analytics stages. </w:t>
      </w:r>
    </w:p>
    <w:p w14:paraId="2EE693EA" w14:textId="77777777" w:rsidR="00273E0F" w:rsidRPr="00273E0F" w:rsidRDefault="00273E0F" w:rsidP="00273E0F">
      <w:pPr>
        <w:numPr>
          <w:ilvl w:val="0"/>
          <w:numId w:val="2"/>
        </w:numPr>
        <w:spacing w:after="9" w:line="268" w:lineRule="auto"/>
      </w:pPr>
      <w:r w:rsidRPr="00273E0F">
        <w:t xml:space="preserve">A ride-sharing company displays live traffic heatmaps and demand forecasts. Reverse engineer the likely distributed storage and processing backbone behind the system. </w:t>
      </w:r>
    </w:p>
    <w:p w14:paraId="5EC53D17" w14:textId="77777777" w:rsidR="00273E0F" w:rsidRPr="00273E0F" w:rsidRDefault="00273E0F" w:rsidP="00273E0F">
      <w:pPr>
        <w:numPr>
          <w:ilvl w:val="0"/>
          <w:numId w:val="2"/>
        </w:numPr>
        <w:spacing w:after="9" w:line="268" w:lineRule="auto"/>
      </w:pPr>
      <w:r w:rsidRPr="00273E0F">
        <w:t xml:space="preserve">A fraud detection dashboard flags suspicious card transactions in near real time. Reverse engineer the probable big data security, streaming, and alerting mechanisms used. </w:t>
      </w:r>
    </w:p>
    <w:p w14:paraId="4FC58754" w14:textId="77777777" w:rsidR="00273E0F" w:rsidRPr="00273E0F" w:rsidRDefault="00273E0F" w:rsidP="00273E0F">
      <w:pPr>
        <w:numPr>
          <w:ilvl w:val="0"/>
          <w:numId w:val="2"/>
        </w:numPr>
        <w:spacing w:after="9" w:line="268" w:lineRule="auto"/>
      </w:pPr>
      <w:r w:rsidRPr="00273E0F">
        <w:t xml:space="preserve">A social media platform stores videos, text comments, hashtags, and user engagement metrics. Reverse engineer how structured and unstructured data are probably managed together. </w:t>
      </w:r>
    </w:p>
    <w:p w14:paraId="67E57189" w14:textId="77777777" w:rsidR="00273E0F" w:rsidRPr="00273E0F" w:rsidRDefault="00273E0F" w:rsidP="00273E0F">
      <w:pPr>
        <w:numPr>
          <w:ilvl w:val="0"/>
          <w:numId w:val="2"/>
        </w:numPr>
        <w:spacing w:after="206" w:line="268" w:lineRule="auto"/>
      </w:pPr>
      <w:r w:rsidRPr="00273E0F">
        <w:t xml:space="preserve">A manufacturing IoT platform collects machine logs and maintenance events from many plants. Reverse engineer the likely integration tools, storage strategy, and analytics path. </w:t>
      </w:r>
    </w:p>
    <w:p w14:paraId="684194AC" w14:textId="77777777" w:rsidR="00273E0F" w:rsidRPr="00273E0F" w:rsidRDefault="00273E0F" w:rsidP="00273E0F">
      <w:pPr>
        <w:spacing w:after="21" w:line="259" w:lineRule="auto"/>
        <w:rPr>
          <w:b/>
          <w:bCs/>
          <w:sz w:val="22"/>
          <w:szCs w:val="22"/>
        </w:rPr>
      </w:pPr>
      <w:r w:rsidRPr="00273E0F">
        <w:t xml:space="preserve"> </w:t>
      </w:r>
    </w:p>
    <w:p w14:paraId="36F166A6" w14:textId="77777777" w:rsidR="00273E0F" w:rsidRDefault="00273E0F" w:rsidP="00273E0F">
      <w:pPr>
        <w:pStyle w:val="Heading1"/>
        <w:ind w:left="-5"/>
        <w:rPr>
          <w:b/>
          <w:bCs/>
          <w:color w:val="auto"/>
          <w:sz w:val="28"/>
          <w:szCs w:val="28"/>
        </w:rPr>
      </w:pPr>
      <w:r w:rsidRPr="00273E0F">
        <w:rPr>
          <w:b/>
          <w:bCs/>
          <w:color w:val="auto"/>
          <w:sz w:val="28"/>
          <w:szCs w:val="28"/>
        </w:rPr>
        <w:t xml:space="preserve">Reverse Engineering Task Rubric </w:t>
      </w:r>
    </w:p>
    <w:p w14:paraId="07EC1A68" w14:textId="77777777" w:rsidR="00273E0F" w:rsidRPr="00273E0F" w:rsidRDefault="00273E0F" w:rsidP="00273E0F">
      <w:pPr>
        <w:pStyle w:val="Heading1"/>
        <w:ind w:left="-5"/>
        <w:rPr>
          <w:b/>
          <w:bCs/>
          <w:color w:val="auto"/>
          <w:sz w:val="28"/>
          <w:szCs w:val="28"/>
        </w:rPr>
      </w:pPr>
    </w:p>
    <w:tbl>
      <w:tblPr>
        <w:tblStyle w:val="TableGrid"/>
        <w:tblW w:w="11960" w:type="dxa"/>
        <w:tblInd w:w="-1313" w:type="dxa"/>
        <w:tblCellMar>
          <w:top w:w="53" w:type="dxa"/>
          <w:left w:w="100" w:type="dxa"/>
          <w:bottom w:w="0" w:type="dxa"/>
          <w:right w:w="73" w:type="dxa"/>
        </w:tblCellMar>
        <w:tblLook w:val="04A0" w:firstRow="1" w:lastRow="0" w:firstColumn="1" w:lastColumn="0" w:noHBand="0" w:noVBand="1"/>
      </w:tblPr>
      <w:tblGrid>
        <w:gridCol w:w="1720"/>
        <w:gridCol w:w="1700"/>
        <w:gridCol w:w="1720"/>
        <w:gridCol w:w="1700"/>
        <w:gridCol w:w="1700"/>
        <w:gridCol w:w="1720"/>
        <w:gridCol w:w="1700"/>
      </w:tblGrid>
      <w:tr w:rsidR="00273E0F" w:rsidRPr="00273E0F" w14:paraId="41A5C99D" w14:textId="77777777" w:rsidTr="00273E0F">
        <w:trPr>
          <w:trHeight w:val="460"/>
        </w:trPr>
        <w:tc>
          <w:tcPr>
            <w:tcW w:w="1720" w:type="dxa"/>
            <w:tcBorders>
              <w:top w:val="single" w:sz="8" w:space="0" w:color="000000"/>
              <w:left w:val="single" w:sz="8" w:space="0" w:color="000000"/>
              <w:bottom w:val="single" w:sz="8" w:space="0" w:color="000000"/>
              <w:right w:val="single" w:sz="8" w:space="0" w:color="000000"/>
            </w:tcBorders>
          </w:tcPr>
          <w:p w14:paraId="65FBB1D0" w14:textId="77777777" w:rsidR="00273E0F" w:rsidRPr="00273E0F" w:rsidRDefault="00273E0F" w:rsidP="00973328">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03E16BA8" w14:textId="77777777" w:rsidR="00273E0F" w:rsidRPr="00273E0F" w:rsidRDefault="00273E0F" w:rsidP="00973328">
            <w:pPr>
              <w:spacing w:after="160" w:line="259" w:lineRule="auto"/>
            </w:pPr>
          </w:p>
        </w:tc>
        <w:tc>
          <w:tcPr>
            <w:tcW w:w="1720" w:type="dxa"/>
            <w:tcBorders>
              <w:top w:val="single" w:sz="8" w:space="0" w:color="000000"/>
              <w:left w:val="single" w:sz="8" w:space="0" w:color="000000"/>
              <w:bottom w:val="single" w:sz="8" w:space="0" w:color="000000"/>
              <w:right w:val="single" w:sz="8" w:space="0" w:color="000000"/>
            </w:tcBorders>
          </w:tcPr>
          <w:p w14:paraId="79EBBF81" w14:textId="77777777" w:rsidR="00273E0F" w:rsidRPr="00273E0F" w:rsidRDefault="00273E0F" w:rsidP="00973328">
            <w:pPr>
              <w:spacing w:line="259" w:lineRule="auto"/>
            </w:pPr>
            <w:r w:rsidRPr="00273E0F">
              <w:rPr>
                <w:sz w:val="20"/>
              </w:rPr>
              <w:t>underlying big data architecture</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95DA361" w14:textId="77777777" w:rsidR="00273E0F" w:rsidRPr="00273E0F" w:rsidRDefault="00273E0F" w:rsidP="00973328">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641EAFE6" w14:textId="4E1010B4" w:rsidR="00273E0F" w:rsidRPr="00273E0F" w:rsidRDefault="00273E0F" w:rsidP="00973328">
            <w:pPr>
              <w:spacing w:after="160" w:line="259" w:lineRule="auto"/>
            </w:pPr>
          </w:p>
        </w:tc>
        <w:tc>
          <w:tcPr>
            <w:tcW w:w="1720" w:type="dxa"/>
            <w:tcBorders>
              <w:top w:val="single" w:sz="8" w:space="0" w:color="000000"/>
              <w:left w:val="single" w:sz="8" w:space="0" w:color="000000"/>
              <w:bottom w:val="single" w:sz="8" w:space="0" w:color="000000"/>
              <w:right w:val="single" w:sz="8" w:space="0" w:color="000000"/>
            </w:tcBorders>
          </w:tcPr>
          <w:p w14:paraId="084EE419" w14:textId="77777777" w:rsidR="00273E0F" w:rsidRPr="00273E0F" w:rsidRDefault="00273E0F" w:rsidP="00973328">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559148E1" w14:textId="77777777" w:rsidR="00273E0F" w:rsidRPr="00273E0F" w:rsidRDefault="00273E0F" w:rsidP="00973328">
            <w:pPr>
              <w:spacing w:after="160" w:line="259" w:lineRule="auto"/>
            </w:pPr>
          </w:p>
        </w:tc>
      </w:tr>
      <w:tr w:rsidR="00273E0F" w:rsidRPr="00273E0F" w14:paraId="1DE7A018" w14:textId="77777777" w:rsidTr="00273E0F">
        <w:trPr>
          <w:trHeight w:val="700"/>
        </w:trPr>
        <w:tc>
          <w:tcPr>
            <w:tcW w:w="1720" w:type="dxa"/>
            <w:tcBorders>
              <w:top w:val="single" w:sz="8" w:space="0" w:color="000000"/>
              <w:left w:val="single" w:sz="8" w:space="0" w:color="000000"/>
              <w:bottom w:val="single" w:sz="8" w:space="0" w:color="000000"/>
              <w:right w:val="single" w:sz="8" w:space="0" w:color="000000"/>
            </w:tcBorders>
          </w:tcPr>
          <w:p w14:paraId="103458C4" w14:textId="77777777" w:rsidR="00273E0F" w:rsidRPr="00273E0F" w:rsidRDefault="00273E0F" w:rsidP="00973328">
            <w:pPr>
              <w:spacing w:line="259" w:lineRule="auto"/>
            </w:pPr>
            <w:r w:rsidRPr="00273E0F">
              <w:rPr>
                <w:sz w:val="20"/>
              </w:rPr>
              <w:t>Use of Technical Evidence</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33E0AAE" w14:textId="77777777" w:rsidR="00273E0F" w:rsidRPr="00273E0F" w:rsidRDefault="00273E0F" w:rsidP="00973328">
            <w:pPr>
              <w:spacing w:line="259" w:lineRule="auto"/>
            </w:pPr>
            <w:r w:rsidRPr="00273E0F">
              <w:rPr>
                <w:sz w:val="20"/>
              </w:rPr>
              <w:t>20%</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E2C86E2" w14:textId="77777777" w:rsidR="00273E0F" w:rsidRPr="00273E0F" w:rsidRDefault="00273E0F" w:rsidP="00973328">
            <w:pPr>
              <w:spacing w:line="259" w:lineRule="auto"/>
            </w:pPr>
            <w:r w:rsidRPr="00273E0F">
              <w:rPr>
                <w:sz w:val="20"/>
              </w:rPr>
              <w:t>Uses strong reasoning and technical evidence</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E6E18FA" w14:textId="77777777" w:rsidR="00273E0F" w:rsidRPr="00273E0F" w:rsidRDefault="00273E0F" w:rsidP="00973328">
            <w:pPr>
              <w:spacing w:line="259" w:lineRule="auto"/>
              <w:rPr>
                <w:sz w:val="20"/>
              </w:rPr>
            </w:pPr>
          </w:p>
        </w:tc>
        <w:tc>
          <w:tcPr>
            <w:tcW w:w="1700" w:type="dxa"/>
            <w:tcBorders>
              <w:top w:val="single" w:sz="8" w:space="0" w:color="000000"/>
              <w:left w:val="single" w:sz="8" w:space="0" w:color="000000"/>
              <w:bottom w:val="single" w:sz="8" w:space="0" w:color="000000"/>
              <w:right w:val="single" w:sz="8" w:space="0" w:color="000000"/>
            </w:tcBorders>
          </w:tcPr>
          <w:p w14:paraId="4D3F657E" w14:textId="78519FD8" w:rsidR="00273E0F" w:rsidRPr="00273E0F" w:rsidRDefault="00273E0F" w:rsidP="00973328">
            <w:pPr>
              <w:spacing w:line="259" w:lineRule="auto"/>
            </w:pPr>
            <w:r w:rsidRPr="00273E0F">
              <w:rPr>
                <w:sz w:val="20"/>
              </w:rPr>
              <w:t>Reasonable evidence</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4256100" w14:textId="77777777" w:rsidR="00273E0F" w:rsidRPr="00273E0F" w:rsidRDefault="00273E0F" w:rsidP="00973328">
            <w:pPr>
              <w:spacing w:line="259" w:lineRule="auto"/>
            </w:pPr>
            <w:r w:rsidRPr="00273E0F">
              <w:rPr>
                <w:sz w:val="20"/>
              </w:rPr>
              <w:t>Limited evidence</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90708C0" w14:textId="77777777" w:rsidR="00273E0F" w:rsidRPr="00273E0F" w:rsidRDefault="00273E0F" w:rsidP="00973328">
            <w:pPr>
              <w:spacing w:line="259" w:lineRule="auto"/>
            </w:pPr>
            <w:r w:rsidRPr="00273E0F">
              <w:rPr>
                <w:sz w:val="20"/>
              </w:rPr>
              <w:t>No meaningful evidence</w:t>
            </w:r>
            <w:r w:rsidRPr="00273E0F">
              <w:t xml:space="preserve"> </w:t>
            </w:r>
          </w:p>
        </w:tc>
      </w:tr>
      <w:tr w:rsidR="00273E0F" w:rsidRPr="00273E0F" w14:paraId="127547F6" w14:textId="77777777" w:rsidTr="00273E0F">
        <w:trPr>
          <w:trHeight w:val="480"/>
        </w:trPr>
        <w:tc>
          <w:tcPr>
            <w:tcW w:w="1720" w:type="dxa"/>
            <w:tcBorders>
              <w:top w:val="single" w:sz="8" w:space="0" w:color="000000"/>
              <w:left w:val="single" w:sz="8" w:space="0" w:color="000000"/>
              <w:bottom w:val="single" w:sz="8" w:space="0" w:color="000000"/>
              <w:right w:val="single" w:sz="8" w:space="0" w:color="000000"/>
            </w:tcBorders>
          </w:tcPr>
          <w:p w14:paraId="59F57363" w14:textId="77777777" w:rsidR="00273E0F" w:rsidRPr="00273E0F" w:rsidRDefault="00273E0F" w:rsidP="00973328">
            <w:pPr>
              <w:spacing w:line="259" w:lineRule="auto"/>
            </w:pPr>
            <w:r w:rsidRPr="00273E0F">
              <w:rPr>
                <w:sz w:val="20"/>
              </w:rPr>
              <w:t>Depth of Analysis</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8587F6C" w14:textId="77777777" w:rsidR="00273E0F" w:rsidRPr="00273E0F" w:rsidRDefault="00273E0F" w:rsidP="00973328">
            <w:pPr>
              <w:spacing w:line="259" w:lineRule="auto"/>
            </w:pPr>
            <w:r w:rsidRPr="00273E0F">
              <w:rPr>
                <w:sz w:val="20"/>
              </w:rPr>
              <w:t>15%</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61D1FA3" w14:textId="77777777" w:rsidR="00273E0F" w:rsidRPr="00273E0F" w:rsidRDefault="00273E0F" w:rsidP="00973328">
            <w:pPr>
              <w:spacing w:line="259" w:lineRule="auto"/>
            </w:pPr>
            <w:r w:rsidRPr="00273E0F">
              <w:rPr>
                <w:sz w:val="20"/>
              </w:rPr>
              <w:t>Analysis is deep and insightful</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C97DD8C" w14:textId="77777777" w:rsidR="00273E0F" w:rsidRPr="00273E0F" w:rsidRDefault="00273E0F" w:rsidP="00973328">
            <w:pPr>
              <w:spacing w:line="259" w:lineRule="auto"/>
              <w:rPr>
                <w:sz w:val="20"/>
              </w:rPr>
            </w:pPr>
          </w:p>
        </w:tc>
        <w:tc>
          <w:tcPr>
            <w:tcW w:w="1700" w:type="dxa"/>
            <w:tcBorders>
              <w:top w:val="single" w:sz="8" w:space="0" w:color="000000"/>
              <w:left w:val="single" w:sz="8" w:space="0" w:color="000000"/>
              <w:bottom w:val="single" w:sz="8" w:space="0" w:color="000000"/>
              <w:right w:val="single" w:sz="8" w:space="0" w:color="000000"/>
            </w:tcBorders>
          </w:tcPr>
          <w:p w14:paraId="16537C0C" w14:textId="10C1243C" w:rsidR="00273E0F" w:rsidRPr="00273E0F" w:rsidRDefault="00273E0F" w:rsidP="00973328">
            <w:pPr>
              <w:spacing w:line="259" w:lineRule="auto"/>
            </w:pPr>
            <w:r w:rsidRPr="00273E0F">
              <w:rPr>
                <w:sz w:val="20"/>
              </w:rPr>
              <w:t>Reasonably deep</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BCA84F2" w14:textId="77777777" w:rsidR="00273E0F" w:rsidRPr="00273E0F" w:rsidRDefault="00273E0F" w:rsidP="00973328">
            <w:pPr>
              <w:spacing w:line="259" w:lineRule="auto"/>
            </w:pPr>
            <w:r w:rsidRPr="00273E0F">
              <w:rPr>
                <w:sz w:val="20"/>
              </w:rPr>
              <w:t>Basic depth</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35AEE50" w14:textId="77777777" w:rsidR="00273E0F" w:rsidRPr="00273E0F" w:rsidRDefault="00273E0F" w:rsidP="00973328">
            <w:pPr>
              <w:spacing w:line="259" w:lineRule="auto"/>
            </w:pPr>
            <w:r w:rsidRPr="00273E0F">
              <w:rPr>
                <w:sz w:val="20"/>
              </w:rPr>
              <w:t>Superficial analysis</w:t>
            </w:r>
            <w:r w:rsidRPr="00273E0F">
              <w:t xml:space="preserve"> </w:t>
            </w:r>
          </w:p>
        </w:tc>
      </w:tr>
      <w:tr w:rsidR="00273E0F" w:rsidRPr="00273E0F" w14:paraId="28C0306F" w14:textId="77777777" w:rsidTr="00273E0F">
        <w:trPr>
          <w:trHeight w:val="700"/>
        </w:trPr>
        <w:tc>
          <w:tcPr>
            <w:tcW w:w="1720" w:type="dxa"/>
            <w:tcBorders>
              <w:top w:val="single" w:sz="8" w:space="0" w:color="000000"/>
              <w:left w:val="single" w:sz="8" w:space="0" w:color="000000"/>
              <w:bottom w:val="single" w:sz="8" w:space="0" w:color="000000"/>
              <w:right w:val="single" w:sz="8" w:space="0" w:color="000000"/>
            </w:tcBorders>
          </w:tcPr>
          <w:p w14:paraId="38565420" w14:textId="77777777" w:rsidR="00273E0F" w:rsidRPr="00273E0F" w:rsidRDefault="00273E0F" w:rsidP="00973328">
            <w:pPr>
              <w:spacing w:line="259" w:lineRule="auto"/>
            </w:pPr>
            <w:r w:rsidRPr="00273E0F">
              <w:rPr>
                <w:sz w:val="20"/>
              </w:rPr>
              <w:t>Clarity</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2E62C76" w14:textId="77777777" w:rsidR="00273E0F" w:rsidRPr="00273E0F" w:rsidRDefault="00273E0F" w:rsidP="00973328">
            <w:pPr>
              <w:spacing w:line="259" w:lineRule="auto"/>
            </w:pPr>
            <w:r w:rsidRPr="00273E0F">
              <w:rPr>
                <w:sz w:val="20"/>
              </w:rPr>
              <w:t>15%</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34486BB" w14:textId="77777777" w:rsidR="00273E0F" w:rsidRPr="00273E0F" w:rsidRDefault="00273E0F" w:rsidP="00973328">
            <w:pPr>
              <w:spacing w:line="259" w:lineRule="auto"/>
            </w:pPr>
            <w:r w:rsidRPr="00273E0F">
              <w:rPr>
                <w:sz w:val="20"/>
              </w:rPr>
              <w:t>Clear and organized explanation</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3FB2369" w14:textId="77777777" w:rsidR="00273E0F" w:rsidRPr="00273E0F" w:rsidRDefault="00273E0F" w:rsidP="00973328">
            <w:pPr>
              <w:spacing w:line="259" w:lineRule="auto"/>
              <w:rPr>
                <w:sz w:val="20"/>
              </w:rPr>
            </w:pPr>
          </w:p>
        </w:tc>
        <w:tc>
          <w:tcPr>
            <w:tcW w:w="1700" w:type="dxa"/>
            <w:tcBorders>
              <w:top w:val="single" w:sz="8" w:space="0" w:color="000000"/>
              <w:left w:val="single" w:sz="8" w:space="0" w:color="000000"/>
              <w:bottom w:val="single" w:sz="8" w:space="0" w:color="000000"/>
              <w:right w:val="single" w:sz="8" w:space="0" w:color="000000"/>
            </w:tcBorders>
          </w:tcPr>
          <w:p w14:paraId="66F181EF" w14:textId="491B3633" w:rsidR="00273E0F" w:rsidRPr="00273E0F" w:rsidRDefault="00273E0F" w:rsidP="00973328">
            <w:pPr>
              <w:spacing w:line="259" w:lineRule="auto"/>
            </w:pPr>
            <w:r w:rsidRPr="00273E0F">
              <w:rPr>
                <w:sz w:val="20"/>
              </w:rPr>
              <w:t>Generally clear</w:t>
            </w:r>
            <w:r w:rsidRPr="00273E0F">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A128B09" w14:textId="77777777" w:rsidR="00273E0F" w:rsidRPr="00273E0F" w:rsidRDefault="00273E0F" w:rsidP="00973328">
            <w:pPr>
              <w:spacing w:line="259" w:lineRule="auto"/>
            </w:pPr>
            <w:r w:rsidRPr="00273E0F">
              <w:rPr>
                <w:sz w:val="20"/>
              </w:rPr>
              <w:t>Somewhat unclear</w:t>
            </w:r>
            <w:r w:rsidRPr="00273E0F">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46CB09D" w14:textId="77777777" w:rsidR="00273E0F" w:rsidRPr="00273E0F" w:rsidRDefault="00273E0F" w:rsidP="00973328">
            <w:pPr>
              <w:spacing w:line="259" w:lineRule="auto"/>
            </w:pPr>
            <w:r w:rsidRPr="00273E0F">
              <w:rPr>
                <w:sz w:val="20"/>
              </w:rPr>
              <w:t>Poorly presented</w:t>
            </w:r>
            <w:r w:rsidRPr="00273E0F">
              <w:t xml:space="preserve"> </w:t>
            </w:r>
          </w:p>
        </w:tc>
      </w:tr>
    </w:tbl>
    <w:p w14:paraId="700ECB0B" w14:textId="77777777" w:rsidR="00273E0F" w:rsidRPr="00273E0F" w:rsidRDefault="00273E0F" w:rsidP="00273E0F">
      <w:pPr>
        <w:spacing w:line="259" w:lineRule="auto"/>
        <w:jc w:val="both"/>
      </w:pPr>
      <w:r w:rsidRPr="00273E0F">
        <w:t xml:space="preserve"> </w:t>
      </w:r>
    </w:p>
    <w:p w14:paraId="1BB3E283" w14:textId="77777777" w:rsidR="00273E0F" w:rsidRDefault="00273E0F">
      <w:pPr>
        <w:pStyle w:val="Heading1"/>
        <w:spacing w:before="200" w:after="120"/>
        <w:rPr>
          <w:b/>
          <w:bCs/>
          <w:color w:val="1F3864"/>
        </w:rPr>
      </w:pPr>
    </w:p>
    <w:p w14:paraId="5E0CAE60" w14:textId="753F6288" w:rsidR="00301F0B" w:rsidRDefault="00000000">
      <w:pPr>
        <w:pStyle w:val="Heading1"/>
        <w:spacing w:before="200" w:after="120"/>
      </w:pPr>
      <w:r>
        <w:rPr>
          <w:b/>
          <w:bCs/>
          <w:color w:val="1F3864"/>
        </w:rPr>
        <w:t>1. Introduction</w:t>
      </w:r>
    </w:p>
    <w:p w14:paraId="278A8586" w14:textId="77777777" w:rsidR="00301F0B" w:rsidRDefault="00000000">
      <w:pPr>
        <w:spacing w:after="120" w:line="264" w:lineRule="auto"/>
        <w:jc w:val="both"/>
      </w:pPr>
      <w:r>
        <w:t>Reverse engineering, in the context of large-scale data systems, is the disciplined process of examining an operational system's observable behaviour and stated capabilities in order to deduce the underlying design decisions, architectural components, and technology choices that most plausibly produced that behaviour. Unlike forward engineering, which begins from requirements and proceeds toward implementation, reverse engineering works backward: it starts from what a system is known to do — the data it ingests, the outputs it produces, the guarantees it appears to offer — and infers how such outcomes are typically achieved in distributed, high-volume computing environments. This form of analysis is a core skill for cloud and big-data professionals because production architectures are rarely documented in full detail; engineers are routinely asked to onboard, audit, secure, or extend systems whose internal design must be inferred from behaviour, logs, and domain knowledge of standard big-data patterns.</w:t>
      </w:r>
    </w:p>
    <w:p w14:paraId="083127B2" w14:textId="77777777" w:rsidR="00301F0B" w:rsidRDefault="00000000">
      <w:pPr>
        <w:spacing w:after="120" w:line="264" w:lineRule="auto"/>
        <w:jc w:val="both"/>
      </w:pPr>
      <w:r>
        <w:t>The purpose of this assessment is to develop and demonstrate exactly this capability. For each of the five scenarios that follow, a real-world class of big-data system is described only through its user-facing behaviour and general purpose. The task is to infer, with technical justification grounded in established big-data engineering practice, the probable data types involved, the ingestion pathways by which data would enter the system, the storage strategies suited to the data's volume and structure, the processing paradigms (batch, stream, or hybrid) required to meet the system's latency expectations, the analytics performed to generate value, and the security and scalability mechanisms that would be necessary for the system to operate reliably at production scale. Each inference is explicitly justified against the well-established characteristics of big data — Volume, Velocity, Variety, Veracity, and Value — and against the architectural patterns (such as the Lambda and Kappa architectures, event-driven pipelines, and polyglot persistence) that are known to satisfy those characteristics in industry.</w:t>
      </w:r>
    </w:p>
    <w:p w14:paraId="60CC8C1D" w14:textId="77777777" w:rsidR="00301F0B" w:rsidRDefault="00000000">
      <w:pPr>
        <w:spacing w:after="120" w:line="264" w:lineRule="auto"/>
        <w:jc w:val="both"/>
      </w:pPr>
      <w:r>
        <w:t>The five systems examined are: a recommendation engine that must reconcile multi-device behavioural signals; a ride-sharing platform that renders live traffic heatmaps and demand forecasts; a fraud detection dashboard that must flag suspicious transactions within seconds; a social media platform that must jointly manage structured, semi-structured, and unstructured content at scale; and a manufacturing IoT platform that aggregates machine telemetry from geographically distributed plants. Although each system serves a different domain, all five are unified by the same underlying big-data challenge: how to ingest heterogeneous, high-velocity data from many sources, store it durably and efficiently, process it within an acceptable latency budget, and extract actionable insight from it while preserving security and enabling horizontal scale. Throughout this document, inferences are clearly distinguished from the facts explicitly stated in each scenario, and specific technologies are presented as probable or representative implementations rather than as verified facts, since no scenario discloses an actual technology stack.</w:t>
      </w:r>
    </w:p>
    <w:p w14:paraId="22281412" w14:textId="77777777" w:rsidR="00301F0B" w:rsidRDefault="00000000">
      <w:r>
        <w:br w:type="page"/>
      </w:r>
    </w:p>
    <w:p w14:paraId="7696C0B7" w14:textId="77777777" w:rsidR="00301F0B" w:rsidRDefault="00000000">
      <w:pPr>
        <w:pStyle w:val="Heading1"/>
        <w:spacing w:before="200" w:after="120"/>
      </w:pPr>
      <w:r>
        <w:rPr>
          <w:b/>
          <w:bCs/>
          <w:color w:val="1F3864"/>
        </w:rPr>
        <w:lastRenderedPageBreak/>
        <w:t>2. Task 1 — Recommendation Engine</w:t>
      </w:r>
    </w:p>
    <w:p w14:paraId="106C25F1" w14:textId="77777777" w:rsidR="00301F0B" w:rsidRDefault="00000000">
      <w:pPr>
        <w:spacing w:after="120" w:line="264" w:lineRule="auto"/>
        <w:jc w:val="both"/>
      </w:pPr>
      <w:r>
        <w:t>Scenario (as stated): A recommendation engine processes user clicks, search queries, and purchases from multiple devices. The task requires inferring the probable data types, ingestion flow, and analytics stages that underlie such a system.</w:t>
      </w:r>
    </w:p>
    <w:p w14:paraId="1FF852F6" w14:textId="77777777" w:rsidR="00301F0B" w:rsidRDefault="00000000">
      <w:pPr>
        <w:pStyle w:val="Heading2"/>
        <w:spacing w:before="160" w:after="100"/>
      </w:pPr>
      <w:r>
        <w:rPr>
          <w:b/>
          <w:bCs/>
          <w:color w:val="2E5395"/>
          <w:sz w:val="28"/>
          <w:szCs w:val="28"/>
        </w:rPr>
        <w:t>2.1 Data Characteristics</w:t>
      </w:r>
    </w:p>
    <w:p w14:paraId="14937AFD" w14:textId="77777777" w:rsidR="00301F0B" w:rsidRDefault="00000000">
      <w:pPr>
        <w:spacing w:after="120" w:line="264" w:lineRule="auto"/>
        <w:jc w:val="both"/>
      </w:pPr>
      <w:r>
        <w:t>The scenario explicitly names three behavioural signal types — clicks, search queries, and purchases — each of which carries a distinct structure. Purchases are naturally structured, comprising well-defined fields such as user identifier, product identifier, timestamp, price, and quantity, and would typically be modelled as relational or semi-structured records. Search queries are semi-structured free text combined with structured metadata (timestamp, device identifier, session identifier), while clickstream events are high-frequency, schema-light JSON-like events describing page views, hovers, scrolls, and add-to-cart actions. Because the same user interacts through multiple devices, the system must also reconcile a device-graph or identity-resolution layer that links a mobile session to a desktop session for the same underlying user — this is an inferred requirement rather than a stated one, since without such reconciliation the multi-device claim in the scenario could not be technically realised. Taken together, this is a textbook Variety problem: structured transactional data, semi-structured query logs, and high-Volume, high-Velocity event streams must all be unified into a single behavioural profile.</w:t>
      </w:r>
    </w:p>
    <w:p w14:paraId="78E20AA8" w14:textId="77777777" w:rsidR="00301F0B" w:rsidRDefault="00000000">
      <w:pPr>
        <w:pStyle w:val="Heading2"/>
        <w:spacing w:before="160" w:after="100"/>
      </w:pPr>
      <w:r>
        <w:rPr>
          <w:b/>
          <w:bCs/>
          <w:color w:val="2E5395"/>
          <w:sz w:val="28"/>
          <w:szCs w:val="28"/>
        </w:rPr>
        <w:t>2.2 Ingestion Architecture</w:t>
      </w:r>
    </w:p>
    <w:p w14:paraId="12BFCB91" w14:textId="77777777" w:rsidR="00301F0B" w:rsidRDefault="00000000">
      <w:pPr>
        <w:spacing w:after="120" w:line="264" w:lineRule="auto"/>
        <w:jc w:val="both"/>
      </w:pPr>
      <w:r>
        <w:t xml:space="preserve">Given that clickstream data alone can reach tens of thousands of events per second for a moderately sized platform, a probable ingestion layer would be built around a distributed publish-subscribe messaging system such as Apache Kafka or a managed equivalent (Amazon Kinesis, Google Pub/Sub). Each device or client SDK would emit events to a lightweight collection endpoint — typically an API gateway or an edge collector — which in turn publishes to topic partitions keyed by user identifier or session identifier. Partitioning by user identifier is a deliberate design decision: it guarantees that all events belonging to one user arrive in order on the same partition, which is essential for constructing a coherent per-user activity timeline downstream. Purchase events, being lower-volume and higher-value, would likely be captured through a transactional service (order-management microservice) that emits a change-data-capture (CDC) stream (for example via </w:t>
      </w:r>
      <w:proofErr w:type="spellStart"/>
      <w:r>
        <w:t>Debezium</w:t>
      </w:r>
      <w:proofErr w:type="spellEnd"/>
      <w:r>
        <w:t>) into the same messaging backbone, ensuring that behavioural and transactional data flow through a unified pipeline rather than disjoint silos.</w:t>
      </w:r>
    </w:p>
    <w:p w14:paraId="62F128F4" w14:textId="77777777" w:rsidR="00301F0B" w:rsidRDefault="00000000">
      <w:pPr>
        <w:pStyle w:val="Heading2"/>
        <w:spacing w:before="160" w:after="100"/>
      </w:pPr>
      <w:r>
        <w:rPr>
          <w:b/>
          <w:bCs/>
          <w:color w:val="2E5395"/>
          <w:sz w:val="28"/>
          <w:szCs w:val="28"/>
        </w:rPr>
        <w:t>2.3 Storage Strategy</w:t>
      </w:r>
    </w:p>
    <w:p w14:paraId="58BD0A15" w14:textId="77777777" w:rsidR="00301F0B" w:rsidRDefault="00000000">
      <w:pPr>
        <w:spacing w:after="120" w:line="264" w:lineRule="auto"/>
        <w:jc w:val="both"/>
      </w:pPr>
      <w:r>
        <w:t xml:space="preserve">A layered storage strategy is the most defensible inference here. Raw, immutable event data (clicks, searches) would land first in a distributed object store or data lake (such as Amazon S3, Azure Data Lake Storage, or HDFS) in an append-only, partitioned format — commonly partitioned by ingestion date and event type to support efficient batch scans. This preserves Veracity by retaining an unaltered raw copy for reprocessing or auditing. A curated layer would then transform this raw data into columnar formats such as Parquet or ORC, which are optimised for the large, scan-heavy analytical queries that recommendation model training requires. Purchase </w:t>
      </w:r>
      <w:r>
        <w:lastRenderedPageBreak/>
        <w:t>records, being of lower volume but requiring transactional guarantees, would probably reside in a distributed relational or NoSQL store (such as Cassandra or DynamoDB) optimised for fast point lookups by user identifier. Aggregated user profiles and precomputed recommendation candidates — the final output consumed by the application — would likely sit in a low-latency key-value or in-memory store (Redis or a similar cache) so that the serving path never depends on scanning the raw data lake at request time.</w:t>
      </w:r>
    </w:p>
    <w:p w14:paraId="6738A19E" w14:textId="77777777" w:rsidR="00301F0B" w:rsidRDefault="00000000">
      <w:pPr>
        <w:pStyle w:val="Heading2"/>
        <w:spacing w:before="160" w:after="100"/>
      </w:pPr>
      <w:r>
        <w:rPr>
          <w:b/>
          <w:bCs/>
          <w:color w:val="2E5395"/>
          <w:sz w:val="28"/>
          <w:szCs w:val="28"/>
        </w:rPr>
        <w:t>2.4 Processing: Batch and Stream</w:t>
      </w:r>
    </w:p>
    <w:p w14:paraId="029D0A03" w14:textId="77777777" w:rsidR="00301F0B" w:rsidRDefault="00000000">
      <w:pPr>
        <w:spacing w:after="120" w:line="264" w:lineRule="auto"/>
        <w:jc w:val="both"/>
      </w:pPr>
      <w:r>
        <w:t>A hybrid processing model, consistent with the Lambda architecture pattern, is the most technically justified inference. A batch layer — likely implemented with Apache Spark running on a distributed cluster (YARN, Kubernetes, or a managed service such as Databricks or EMR) — would periodically process the full historical dataset in the data lake to train collaborative-filtering or deep-learning-based recommendation models (matrix factorization, two-tower neural retrieval models, or gradient-boosted ranking models). Concurrently, a stream-processing layer — plausibly Apache Spark Structured Streaming, Apache Flink, or Kafka Streams — would consume the live Kafka topics to update short-term user context (e.g., "items viewed in the last ten minutes") that batch-trained models alone cannot capture. This dual-speed design is a deliberate trade-off: batch processing achieves high accuracy over large historical windows at the cost of freshness, while stream processing sacrifices some statistical depth to capture immediate intent, and combining both is standard practice for recommendation systems that must feel responsive.</w:t>
      </w:r>
    </w:p>
    <w:p w14:paraId="5D95BFDF" w14:textId="77777777" w:rsidR="00301F0B" w:rsidRDefault="00000000">
      <w:pPr>
        <w:pStyle w:val="Heading2"/>
        <w:spacing w:before="160" w:after="100"/>
      </w:pPr>
      <w:r>
        <w:rPr>
          <w:b/>
          <w:bCs/>
          <w:color w:val="2E5395"/>
          <w:sz w:val="28"/>
          <w:szCs w:val="28"/>
        </w:rPr>
        <w:t>2.5 Analytics and Recommendation Pipeline</w:t>
      </w:r>
    </w:p>
    <w:p w14:paraId="54EEC35A" w14:textId="77777777" w:rsidR="00301F0B" w:rsidRDefault="00000000">
      <w:pPr>
        <w:spacing w:after="120" w:line="264" w:lineRule="auto"/>
        <w:jc w:val="both"/>
      </w:pPr>
      <w:r>
        <w:t>The analytics stage would likely proceed in three phases: candidate generation, ranking, and re-ranking. Candidate generation narrows millions of catalogue items down to a few hundred plausible matches using approximate nearest-neighbour search over learned item embeddings (a technique well suited to tools such as FAISS or a vector database). Ranking then applies a more computationally expensive model — commonly gradient-boosted trees or a neural ranker — to the smaller candidate set, scoring each by predicted click-through or purchase probability. A final re-ranking step would apply business rules such as diversity constraints, inventory availability, and recency decay. This staged funnel is itself a design decision driven by a Volume/latency trade-off: it would be computationally infeasible to run the most accurate model over the entire catalogue for every request within the millisecond-scale latency budget that recommendation surfaces require.</w:t>
      </w:r>
    </w:p>
    <w:p w14:paraId="66C92F68" w14:textId="77777777" w:rsidR="00301F0B" w:rsidRDefault="00000000">
      <w:pPr>
        <w:pStyle w:val="Heading2"/>
        <w:spacing w:before="160" w:after="100"/>
      </w:pPr>
      <w:r>
        <w:rPr>
          <w:b/>
          <w:bCs/>
          <w:color w:val="2E5395"/>
          <w:sz w:val="28"/>
          <w:szCs w:val="28"/>
        </w:rPr>
        <w:t>2.6 Security and Scalability Considerations</w:t>
      </w:r>
    </w:p>
    <w:p w14:paraId="4F2C8F35" w14:textId="77777777" w:rsidR="00301F0B" w:rsidRDefault="00000000">
      <w:pPr>
        <w:spacing w:after="120" w:line="264" w:lineRule="auto"/>
        <w:jc w:val="both"/>
      </w:pPr>
      <w:r>
        <w:t xml:space="preserve">Because the pipeline aggregates granular personal behavioural data across devices, a production-grade implementation would necessarily incorporate authenticated ingestion endpoints (OAuth2/JWT-based device or session tokens), encryption in transit (TLS) and at rest for both the raw data lake and the profile store, and role-based access control restricting who may query raw clickstream data versus aggregated, de-identified analytics. Given regulatory obligations such as GDPR or India's DPDP Act, the architecture would also probably include a pseudonymisation or hashing layer for device and user identifiers before data reaches less-trusted analytical zones. Scalability is achieved through horizontal partitioning at every layer — Kafka topic partitions, </w:t>
      </w:r>
      <w:r>
        <w:lastRenderedPageBreak/>
        <w:t>Spark cluster nodes, and sharded key-value stores — allowing throughput to scale near-linearly with added hardware, which is essential given that clickstream Velocity can spike unpredictably during sales events or product launches.</w:t>
      </w:r>
    </w:p>
    <w:p w14:paraId="7B7EC9B4" w14:textId="77777777" w:rsidR="00301F0B" w:rsidRDefault="00000000">
      <w:pPr>
        <w:pStyle w:val="Heading2"/>
        <w:spacing w:before="160" w:after="100"/>
      </w:pPr>
      <w:r>
        <w:rPr>
          <w:b/>
          <w:bCs/>
          <w:color w:val="2E5395"/>
          <w:sz w:val="28"/>
          <w:szCs w:val="28"/>
        </w:rPr>
        <w:t>2.7 Inferred End-to-End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1F0B" w14:paraId="71F1F860" w14:textId="77777777">
        <w:tblPrEx>
          <w:tblCellMar>
            <w:top w:w="0" w:type="dxa"/>
            <w:bottom w:w="0" w:type="dxa"/>
          </w:tblCellMar>
        </w:tblPrEx>
        <w:trPr>
          <w:tblHeader/>
        </w:trPr>
        <w:tc>
          <w:tcPr>
            <w:tcW w:w="3120" w:type="dxa"/>
            <w:shd w:val="clear" w:color="auto" w:fill="1F3864"/>
          </w:tcPr>
          <w:p w14:paraId="4A0CFC58" w14:textId="77777777" w:rsidR="00301F0B" w:rsidRDefault="00000000">
            <w:r>
              <w:rPr>
                <w:b/>
                <w:bCs/>
                <w:color w:val="FFFFFF"/>
                <w:sz w:val="22"/>
                <w:szCs w:val="22"/>
              </w:rPr>
              <w:t>Layer</w:t>
            </w:r>
          </w:p>
        </w:tc>
        <w:tc>
          <w:tcPr>
            <w:tcW w:w="3120" w:type="dxa"/>
            <w:shd w:val="clear" w:color="auto" w:fill="1F3864"/>
          </w:tcPr>
          <w:p w14:paraId="6F39A2D8" w14:textId="77777777" w:rsidR="00301F0B" w:rsidRDefault="00000000">
            <w:r>
              <w:rPr>
                <w:b/>
                <w:bCs/>
                <w:color w:val="FFFFFF"/>
                <w:sz w:val="22"/>
                <w:szCs w:val="22"/>
              </w:rPr>
              <w:t>Probable Component</w:t>
            </w:r>
          </w:p>
        </w:tc>
        <w:tc>
          <w:tcPr>
            <w:tcW w:w="3120" w:type="dxa"/>
            <w:shd w:val="clear" w:color="auto" w:fill="1F3864"/>
          </w:tcPr>
          <w:p w14:paraId="1129215F" w14:textId="77777777" w:rsidR="00301F0B" w:rsidRDefault="00000000">
            <w:r>
              <w:rPr>
                <w:b/>
                <w:bCs/>
                <w:color w:val="FFFFFF"/>
                <w:sz w:val="22"/>
                <w:szCs w:val="22"/>
              </w:rPr>
              <w:t>Justification</w:t>
            </w:r>
          </w:p>
        </w:tc>
      </w:tr>
      <w:tr w:rsidR="00301F0B" w14:paraId="1F6027FE" w14:textId="77777777">
        <w:tblPrEx>
          <w:tblCellMar>
            <w:top w:w="0" w:type="dxa"/>
            <w:bottom w:w="0" w:type="dxa"/>
          </w:tblCellMar>
        </w:tblPrEx>
        <w:tc>
          <w:tcPr>
            <w:tcW w:w="3120" w:type="dxa"/>
          </w:tcPr>
          <w:p w14:paraId="6AD263EC" w14:textId="77777777" w:rsidR="00301F0B" w:rsidRDefault="00000000">
            <w:r>
              <w:rPr>
                <w:sz w:val="20"/>
                <w:szCs w:val="20"/>
              </w:rPr>
              <w:t>Client / Device</w:t>
            </w:r>
          </w:p>
        </w:tc>
        <w:tc>
          <w:tcPr>
            <w:tcW w:w="3120" w:type="dxa"/>
          </w:tcPr>
          <w:p w14:paraId="2450480D" w14:textId="77777777" w:rsidR="00301F0B" w:rsidRDefault="00000000">
            <w:r>
              <w:rPr>
                <w:sz w:val="20"/>
                <w:szCs w:val="20"/>
              </w:rPr>
              <w:t>Web &amp; mobile SDKs, event beacons</w:t>
            </w:r>
          </w:p>
        </w:tc>
        <w:tc>
          <w:tcPr>
            <w:tcW w:w="3120" w:type="dxa"/>
          </w:tcPr>
          <w:p w14:paraId="36E8E32E" w14:textId="77777777" w:rsidR="00301F0B" w:rsidRDefault="00000000">
            <w:r>
              <w:rPr>
                <w:sz w:val="20"/>
                <w:szCs w:val="20"/>
              </w:rPr>
              <w:t>Multi-device stated requirement</w:t>
            </w:r>
          </w:p>
        </w:tc>
      </w:tr>
      <w:tr w:rsidR="00301F0B" w14:paraId="73D37C05" w14:textId="77777777">
        <w:tblPrEx>
          <w:tblCellMar>
            <w:top w:w="0" w:type="dxa"/>
            <w:bottom w:w="0" w:type="dxa"/>
          </w:tblCellMar>
        </w:tblPrEx>
        <w:tc>
          <w:tcPr>
            <w:tcW w:w="3120" w:type="dxa"/>
          </w:tcPr>
          <w:p w14:paraId="46EAEB4D" w14:textId="77777777" w:rsidR="00301F0B" w:rsidRDefault="00000000">
            <w:r>
              <w:rPr>
                <w:sz w:val="20"/>
                <w:szCs w:val="20"/>
              </w:rPr>
              <w:t>Ingestion</w:t>
            </w:r>
          </w:p>
        </w:tc>
        <w:tc>
          <w:tcPr>
            <w:tcW w:w="3120" w:type="dxa"/>
          </w:tcPr>
          <w:p w14:paraId="3D51D35F" w14:textId="77777777" w:rsidR="00301F0B" w:rsidRDefault="00000000">
            <w:r>
              <w:rPr>
                <w:sz w:val="20"/>
                <w:szCs w:val="20"/>
              </w:rPr>
              <w:t>API Gateway + Kafka / Kinesis</w:t>
            </w:r>
          </w:p>
        </w:tc>
        <w:tc>
          <w:tcPr>
            <w:tcW w:w="3120" w:type="dxa"/>
          </w:tcPr>
          <w:p w14:paraId="0726BAA8" w14:textId="77777777" w:rsidR="00301F0B" w:rsidRDefault="00000000">
            <w:r>
              <w:rPr>
                <w:sz w:val="20"/>
                <w:szCs w:val="20"/>
              </w:rPr>
              <w:t>High-velocity event capture, ordered per user</w:t>
            </w:r>
          </w:p>
        </w:tc>
      </w:tr>
      <w:tr w:rsidR="00301F0B" w14:paraId="3C585A96" w14:textId="77777777">
        <w:tblPrEx>
          <w:tblCellMar>
            <w:top w:w="0" w:type="dxa"/>
            <w:bottom w:w="0" w:type="dxa"/>
          </w:tblCellMar>
        </w:tblPrEx>
        <w:tc>
          <w:tcPr>
            <w:tcW w:w="3120" w:type="dxa"/>
          </w:tcPr>
          <w:p w14:paraId="1349C67A" w14:textId="77777777" w:rsidR="00301F0B" w:rsidRDefault="00000000">
            <w:r>
              <w:rPr>
                <w:sz w:val="20"/>
                <w:szCs w:val="20"/>
              </w:rPr>
              <w:t>Raw Storage</w:t>
            </w:r>
          </w:p>
        </w:tc>
        <w:tc>
          <w:tcPr>
            <w:tcW w:w="3120" w:type="dxa"/>
          </w:tcPr>
          <w:p w14:paraId="104FF723" w14:textId="77777777" w:rsidR="00301F0B" w:rsidRDefault="00000000">
            <w:r>
              <w:rPr>
                <w:sz w:val="20"/>
                <w:szCs w:val="20"/>
              </w:rPr>
              <w:t>S3 / HDFS data lake (Parquet)</w:t>
            </w:r>
          </w:p>
        </w:tc>
        <w:tc>
          <w:tcPr>
            <w:tcW w:w="3120" w:type="dxa"/>
          </w:tcPr>
          <w:p w14:paraId="66C8B1C2" w14:textId="77777777" w:rsidR="00301F0B" w:rsidRDefault="00000000">
            <w:r>
              <w:rPr>
                <w:sz w:val="20"/>
                <w:szCs w:val="20"/>
              </w:rPr>
              <w:t xml:space="preserve">Cost-efficient, </w:t>
            </w:r>
            <w:proofErr w:type="spellStart"/>
            <w:r>
              <w:rPr>
                <w:sz w:val="20"/>
                <w:szCs w:val="20"/>
              </w:rPr>
              <w:t>replayable</w:t>
            </w:r>
            <w:proofErr w:type="spellEnd"/>
            <w:r>
              <w:rPr>
                <w:sz w:val="20"/>
                <w:szCs w:val="20"/>
              </w:rPr>
              <w:t>, Veracity preservation</w:t>
            </w:r>
          </w:p>
        </w:tc>
      </w:tr>
      <w:tr w:rsidR="00301F0B" w14:paraId="4D0038A9" w14:textId="77777777">
        <w:tblPrEx>
          <w:tblCellMar>
            <w:top w:w="0" w:type="dxa"/>
            <w:bottom w:w="0" w:type="dxa"/>
          </w:tblCellMar>
        </w:tblPrEx>
        <w:tc>
          <w:tcPr>
            <w:tcW w:w="3120" w:type="dxa"/>
          </w:tcPr>
          <w:p w14:paraId="2497F0AE" w14:textId="77777777" w:rsidR="00301F0B" w:rsidRDefault="00000000">
            <w:r>
              <w:rPr>
                <w:sz w:val="20"/>
                <w:szCs w:val="20"/>
              </w:rPr>
              <w:t>Transactional Store</w:t>
            </w:r>
          </w:p>
        </w:tc>
        <w:tc>
          <w:tcPr>
            <w:tcW w:w="3120" w:type="dxa"/>
          </w:tcPr>
          <w:p w14:paraId="73F901EC" w14:textId="77777777" w:rsidR="00301F0B" w:rsidRDefault="00000000">
            <w:r>
              <w:rPr>
                <w:sz w:val="20"/>
                <w:szCs w:val="20"/>
              </w:rPr>
              <w:t>Cassandra / DynamoDB</w:t>
            </w:r>
          </w:p>
        </w:tc>
        <w:tc>
          <w:tcPr>
            <w:tcW w:w="3120" w:type="dxa"/>
          </w:tcPr>
          <w:p w14:paraId="32CBBC36" w14:textId="77777777" w:rsidR="00301F0B" w:rsidRDefault="00000000">
            <w:r>
              <w:rPr>
                <w:sz w:val="20"/>
                <w:szCs w:val="20"/>
              </w:rPr>
              <w:t>Low-latency purchase &amp; profile lookups</w:t>
            </w:r>
          </w:p>
        </w:tc>
      </w:tr>
      <w:tr w:rsidR="00301F0B" w14:paraId="4F2AB69A" w14:textId="77777777">
        <w:tblPrEx>
          <w:tblCellMar>
            <w:top w:w="0" w:type="dxa"/>
            <w:bottom w:w="0" w:type="dxa"/>
          </w:tblCellMar>
        </w:tblPrEx>
        <w:tc>
          <w:tcPr>
            <w:tcW w:w="3120" w:type="dxa"/>
          </w:tcPr>
          <w:p w14:paraId="1C8A8B75" w14:textId="77777777" w:rsidR="00301F0B" w:rsidRDefault="00000000">
            <w:r>
              <w:rPr>
                <w:sz w:val="20"/>
                <w:szCs w:val="20"/>
              </w:rPr>
              <w:t>Batch Processing</w:t>
            </w:r>
          </w:p>
        </w:tc>
        <w:tc>
          <w:tcPr>
            <w:tcW w:w="3120" w:type="dxa"/>
          </w:tcPr>
          <w:p w14:paraId="0A14B5BD" w14:textId="77777777" w:rsidR="00301F0B" w:rsidRDefault="00000000">
            <w:r>
              <w:rPr>
                <w:sz w:val="20"/>
                <w:szCs w:val="20"/>
              </w:rPr>
              <w:t>Apache Spark on cluster</w:t>
            </w:r>
          </w:p>
        </w:tc>
        <w:tc>
          <w:tcPr>
            <w:tcW w:w="3120" w:type="dxa"/>
          </w:tcPr>
          <w:p w14:paraId="578CC9E8" w14:textId="77777777" w:rsidR="00301F0B" w:rsidRDefault="00000000">
            <w:r>
              <w:rPr>
                <w:sz w:val="20"/>
                <w:szCs w:val="20"/>
              </w:rPr>
              <w:t>Model training over full history</w:t>
            </w:r>
          </w:p>
        </w:tc>
      </w:tr>
      <w:tr w:rsidR="00301F0B" w14:paraId="007FAFF3" w14:textId="77777777">
        <w:tblPrEx>
          <w:tblCellMar>
            <w:top w:w="0" w:type="dxa"/>
            <w:bottom w:w="0" w:type="dxa"/>
          </w:tblCellMar>
        </w:tblPrEx>
        <w:tc>
          <w:tcPr>
            <w:tcW w:w="3120" w:type="dxa"/>
          </w:tcPr>
          <w:p w14:paraId="34AC0C4F" w14:textId="77777777" w:rsidR="00301F0B" w:rsidRDefault="00000000">
            <w:r>
              <w:rPr>
                <w:sz w:val="20"/>
                <w:szCs w:val="20"/>
              </w:rPr>
              <w:t>Stream Processing</w:t>
            </w:r>
          </w:p>
        </w:tc>
        <w:tc>
          <w:tcPr>
            <w:tcW w:w="3120" w:type="dxa"/>
          </w:tcPr>
          <w:p w14:paraId="47610EC9" w14:textId="77777777" w:rsidR="00301F0B" w:rsidRDefault="00000000">
            <w:r>
              <w:rPr>
                <w:sz w:val="20"/>
                <w:szCs w:val="20"/>
              </w:rPr>
              <w:t>Spark Structured Streaming / Flink</w:t>
            </w:r>
          </w:p>
        </w:tc>
        <w:tc>
          <w:tcPr>
            <w:tcW w:w="3120" w:type="dxa"/>
          </w:tcPr>
          <w:p w14:paraId="718117EC" w14:textId="77777777" w:rsidR="00301F0B" w:rsidRDefault="00000000">
            <w:r>
              <w:rPr>
                <w:sz w:val="20"/>
                <w:szCs w:val="20"/>
              </w:rPr>
              <w:t>Real-time context updates</w:t>
            </w:r>
          </w:p>
        </w:tc>
      </w:tr>
      <w:tr w:rsidR="00301F0B" w14:paraId="6BA202EB" w14:textId="77777777">
        <w:tblPrEx>
          <w:tblCellMar>
            <w:top w:w="0" w:type="dxa"/>
            <w:bottom w:w="0" w:type="dxa"/>
          </w:tblCellMar>
        </w:tblPrEx>
        <w:tc>
          <w:tcPr>
            <w:tcW w:w="3120" w:type="dxa"/>
          </w:tcPr>
          <w:p w14:paraId="3D8DB074" w14:textId="77777777" w:rsidR="00301F0B" w:rsidRDefault="00000000">
            <w:r>
              <w:rPr>
                <w:sz w:val="20"/>
                <w:szCs w:val="20"/>
              </w:rPr>
              <w:t>Serving Layer</w:t>
            </w:r>
          </w:p>
        </w:tc>
        <w:tc>
          <w:tcPr>
            <w:tcW w:w="3120" w:type="dxa"/>
          </w:tcPr>
          <w:p w14:paraId="7FB72E4D" w14:textId="77777777" w:rsidR="00301F0B" w:rsidRDefault="00000000">
            <w:r>
              <w:rPr>
                <w:sz w:val="20"/>
                <w:szCs w:val="20"/>
              </w:rPr>
              <w:t>Redis / vector DB cache</w:t>
            </w:r>
          </w:p>
        </w:tc>
        <w:tc>
          <w:tcPr>
            <w:tcW w:w="3120" w:type="dxa"/>
          </w:tcPr>
          <w:p w14:paraId="31783550" w14:textId="77777777" w:rsidR="00301F0B" w:rsidRDefault="00000000">
            <w:r>
              <w:rPr>
                <w:sz w:val="20"/>
                <w:szCs w:val="20"/>
              </w:rPr>
              <w:t>Millisecond-scale recommendation delivery</w:t>
            </w:r>
          </w:p>
        </w:tc>
      </w:tr>
      <w:tr w:rsidR="00301F0B" w14:paraId="6C4907BF" w14:textId="77777777">
        <w:tblPrEx>
          <w:tblCellMar>
            <w:top w:w="0" w:type="dxa"/>
            <w:bottom w:w="0" w:type="dxa"/>
          </w:tblCellMar>
        </w:tblPrEx>
        <w:tc>
          <w:tcPr>
            <w:tcW w:w="3120" w:type="dxa"/>
          </w:tcPr>
          <w:p w14:paraId="4156EECD" w14:textId="77777777" w:rsidR="00301F0B" w:rsidRDefault="00000000">
            <w:r>
              <w:rPr>
                <w:sz w:val="20"/>
                <w:szCs w:val="20"/>
              </w:rPr>
              <w:t>Security</w:t>
            </w:r>
          </w:p>
        </w:tc>
        <w:tc>
          <w:tcPr>
            <w:tcW w:w="3120" w:type="dxa"/>
          </w:tcPr>
          <w:p w14:paraId="3F140B02" w14:textId="77777777" w:rsidR="00301F0B" w:rsidRDefault="00000000">
            <w:r>
              <w:rPr>
                <w:sz w:val="20"/>
                <w:szCs w:val="20"/>
              </w:rPr>
              <w:t>TLS, OAuth2, RBAC, pseudonymisation</w:t>
            </w:r>
          </w:p>
        </w:tc>
        <w:tc>
          <w:tcPr>
            <w:tcW w:w="3120" w:type="dxa"/>
          </w:tcPr>
          <w:p w14:paraId="7EF73213" w14:textId="77777777" w:rsidR="00301F0B" w:rsidRDefault="00000000">
            <w:r>
              <w:rPr>
                <w:sz w:val="20"/>
                <w:szCs w:val="20"/>
              </w:rPr>
              <w:t>Privacy and regulatory compliance</w:t>
            </w:r>
          </w:p>
        </w:tc>
      </w:tr>
    </w:tbl>
    <w:p w14:paraId="48BB2C89" w14:textId="77777777" w:rsidR="00301F0B" w:rsidRDefault="00000000">
      <w:pPr>
        <w:spacing w:after="120" w:line="264" w:lineRule="auto"/>
        <w:jc w:val="both"/>
      </w:pPr>
      <w:r>
        <w:t>Conclusion: The recommendation engine scenario is best explained by a Lambda-style, multi-layer architecture combining a distributed messaging backbone, a data-lake-plus-operational-store storage strategy, dual batch/stream processing, and a staged candidate-rank-</w:t>
      </w:r>
      <w:proofErr w:type="spellStart"/>
      <w:r>
        <w:t>rerank</w:t>
      </w:r>
      <w:proofErr w:type="spellEnd"/>
      <w:r>
        <w:t xml:space="preserve"> analytics pipeline. Each inferred component directly addresses a specific constraint named or implied in the scenario — multi-device reconciliation, mixed data variety, and the need for both accurate and timely recommendations — rather than being assumed generically.</w:t>
      </w:r>
    </w:p>
    <w:p w14:paraId="4FA8713D" w14:textId="77777777" w:rsidR="00301F0B" w:rsidRDefault="00000000">
      <w:pPr>
        <w:pStyle w:val="Heading1"/>
        <w:spacing w:before="200" w:after="120"/>
      </w:pPr>
      <w:r>
        <w:rPr>
          <w:b/>
          <w:bCs/>
          <w:color w:val="1F3864"/>
        </w:rPr>
        <w:t>3. Task 2 — Ride-Sharing Traffic and Demand Forecasting</w:t>
      </w:r>
    </w:p>
    <w:p w14:paraId="0C0D1977" w14:textId="77777777" w:rsidR="00301F0B" w:rsidRDefault="00000000">
      <w:pPr>
        <w:spacing w:after="120" w:line="264" w:lineRule="auto"/>
        <w:jc w:val="both"/>
      </w:pPr>
      <w:r>
        <w:t>Scenario (as stated): A ride-sharing company displays live traffic heatmaps and demand forecasts. The task requires inferring the likely distributed storage and processing backbone behind the system.</w:t>
      </w:r>
    </w:p>
    <w:p w14:paraId="6D9697B6" w14:textId="77777777" w:rsidR="00301F0B" w:rsidRDefault="00000000">
      <w:pPr>
        <w:pStyle w:val="Heading2"/>
        <w:spacing w:before="160" w:after="100"/>
      </w:pPr>
      <w:r>
        <w:rPr>
          <w:b/>
          <w:bCs/>
          <w:color w:val="2E5395"/>
          <w:sz w:val="28"/>
          <w:szCs w:val="28"/>
        </w:rPr>
        <w:t>3.1 Data Characteristics</w:t>
      </w:r>
    </w:p>
    <w:p w14:paraId="454704C6" w14:textId="77777777" w:rsidR="00301F0B" w:rsidRDefault="00000000">
      <w:pPr>
        <w:spacing w:after="120" w:line="264" w:lineRule="auto"/>
        <w:jc w:val="both"/>
      </w:pPr>
      <w:r>
        <w:t>The explicit requirement to display live heatmaps implies a continuous stream of geospatial telemetry: GPS coordinates, timestamps, and vehicle or rider identifiers emitted at short, regular intervals (typically every few seconds) from every active driver and rider device. This is a canonical high-Velocity, high-Volume data source — a moderately sized fleet of tens of thousands of active drivers, each emitting a location ping every four to five seconds, can generate millions of events per minute city-wide. Demand forecasting additionally implies historical trip records (pickup/drop-off coordinates, timestamps, fare, duration), external contextual data such as weather and event calendars, and possibly road-network graph data. The combination of a continuous geospatial stream and a historical relational trip archive is itself an inference: the scenario states the two outputs (heatmaps and forecasts) but not the underlying data, and both outputs are technically unachievable without these respective data foundations.</w:t>
      </w:r>
    </w:p>
    <w:p w14:paraId="508EE9E2" w14:textId="77777777" w:rsidR="00301F0B" w:rsidRDefault="00000000">
      <w:pPr>
        <w:pStyle w:val="Heading2"/>
        <w:spacing w:before="160" w:after="100"/>
      </w:pPr>
      <w:r>
        <w:rPr>
          <w:b/>
          <w:bCs/>
          <w:color w:val="2E5395"/>
          <w:sz w:val="28"/>
          <w:szCs w:val="28"/>
        </w:rPr>
        <w:t>3.2 Distributed Ingestion</w:t>
      </w:r>
    </w:p>
    <w:p w14:paraId="15AF67A9" w14:textId="77777777" w:rsidR="00301F0B" w:rsidRDefault="00000000">
      <w:pPr>
        <w:spacing w:after="120" w:line="264" w:lineRule="auto"/>
        <w:jc w:val="both"/>
      </w:pPr>
      <w:r>
        <w:lastRenderedPageBreak/>
        <w:t xml:space="preserve">Given the strict live-heatmap requirement, ingestion would almost certainly rely on a distributed streaming platform such as Apache Kafka, partitioned geographically (for example, by city or geo-hash cell) so that downstream consumers can process a manageable, load-balanced subset of the citywide stream rather than a single unpartitioned firehose. Geo-hashing or H3 hexagonal indexing at the point of ingestion is a plausible design decision because it converts continuous latitude/longitude pairs into discrete, </w:t>
      </w:r>
      <w:proofErr w:type="spellStart"/>
      <w:r>
        <w:t>bucketable</w:t>
      </w:r>
      <w:proofErr w:type="spellEnd"/>
      <w:r>
        <w:t xml:space="preserve"> keys, which is what makes both partitioned ingestion and later heatmap aggregation computationally tractable. Each driver app would likely batch a few location pings client-side before transmission to reduce network overhead, trading a small amount of freshness for materially lower ingestion load — a reasonable engineering compromise given that human perception of a heatmap does not require sub-second precision.</w:t>
      </w:r>
    </w:p>
    <w:p w14:paraId="052868BC" w14:textId="77777777" w:rsidR="00301F0B" w:rsidRDefault="00000000">
      <w:pPr>
        <w:pStyle w:val="Heading2"/>
        <w:spacing w:before="160" w:after="100"/>
      </w:pPr>
      <w:r>
        <w:rPr>
          <w:b/>
          <w:bCs/>
          <w:color w:val="2E5395"/>
          <w:sz w:val="28"/>
          <w:szCs w:val="28"/>
        </w:rPr>
        <w:t>3.3 Distributed Storage Backbone</w:t>
      </w:r>
    </w:p>
    <w:p w14:paraId="7A469975" w14:textId="77777777" w:rsidR="00301F0B" w:rsidRDefault="00000000">
      <w:pPr>
        <w:spacing w:after="120" w:line="264" w:lineRule="auto"/>
        <w:jc w:val="both"/>
      </w:pPr>
      <w:r>
        <w:t xml:space="preserve">A tiered storage backbone is the most defensible inference. Live location pings would pass through the streaming layer without necessarily being persisted individually long-term; instead, a rolling in-memory or short-retention store (Kafka's own retention window, or a fast time-series database such as </w:t>
      </w:r>
      <w:proofErr w:type="spellStart"/>
      <w:r>
        <w:t>InfluxDB</w:t>
      </w:r>
      <w:proofErr w:type="spellEnd"/>
      <w:r>
        <w:t xml:space="preserve"> or </w:t>
      </w:r>
      <w:proofErr w:type="spellStart"/>
      <w:r>
        <w:t>TimescaleDB</w:t>
      </w:r>
      <w:proofErr w:type="spellEnd"/>
      <w:r>
        <w:t>) would hold only the most recent minutes of data needed to render the current heatmap. Historical trip and location data, once past its operational window, would be archived into a distributed, horizontally scalable store — most plausibly a data lake (S3/HDFS) partitioned by date and geo-cell for efficient batch scans during forecast model training. Given the very high write-Volume of raw pings, a wide-column NoSQL database such as Apache Cassandra or HBase is also a strong candidate for the near-real-time layer, since these databases are explicitly designed for high-throughput, append-heavy time-series-like writes with predictable low-latency reads by key (in this case, geo-cell and time bucket).</w:t>
      </w:r>
    </w:p>
    <w:p w14:paraId="017A214F" w14:textId="77777777" w:rsidR="00301F0B" w:rsidRDefault="00000000">
      <w:pPr>
        <w:pStyle w:val="Heading2"/>
        <w:spacing w:before="160" w:after="100"/>
      </w:pPr>
      <w:r>
        <w:rPr>
          <w:b/>
          <w:bCs/>
          <w:color w:val="2E5395"/>
          <w:sz w:val="28"/>
          <w:szCs w:val="28"/>
        </w:rPr>
        <w:t>3.4 Stream and Batch Processing</w:t>
      </w:r>
    </w:p>
    <w:p w14:paraId="455C744B" w14:textId="77777777" w:rsidR="00301F0B" w:rsidRDefault="00000000">
      <w:pPr>
        <w:spacing w:after="120" w:line="264" w:lineRule="auto"/>
        <w:jc w:val="both"/>
      </w:pPr>
      <w:r>
        <w:t xml:space="preserve">Rendering a live heatmap requires continuous spatial aggregation — counting or density-estimating vehicles per geo-cell within a moving time window. This is naturally implemented with a stream-processing engine such as Apache Flink or Spark Structured Streaming performing windowed aggregations (for example, a sliding one-minute window per geo-hash cell), publishing updated density scores to a fast-read store that the map front-end polls or subscribes to via </w:t>
      </w:r>
      <w:proofErr w:type="spellStart"/>
      <w:r>
        <w:t>WebSockets</w:t>
      </w:r>
      <w:proofErr w:type="spellEnd"/>
      <w:r>
        <w:t>. Demand forecasting, by contrast, is a Volume-heavy, latency-tolerant workload better suited to batch processing: a Spark job would likely run periodically (hourly or daily) over the historical archive, combined with weather and calendar features, to train a time-series or gradient-boosted forecasting model per zone. The two processing paths therefore serve distinct purposes — the streaming path answers "what is happening right now," while the batch path answers "what is likely to happen next" — and this dual-path separation is itself the central architectural design decision that explains how the same platform can offer both outputs.</w:t>
      </w:r>
    </w:p>
    <w:p w14:paraId="06E63B9D" w14:textId="77777777" w:rsidR="00301F0B" w:rsidRDefault="00000000">
      <w:pPr>
        <w:pStyle w:val="Heading2"/>
        <w:spacing w:before="160" w:after="100"/>
      </w:pPr>
      <w:r>
        <w:rPr>
          <w:b/>
          <w:bCs/>
          <w:color w:val="2E5395"/>
          <w:sz w:val="28"/>
          <w:szCs w:val="28"/>
        </w:rPr>
        <w:t>3.5 Scalability and Fault Tolerance</w:t>
      </w:r>
    </w:p>
    <w:p w14:paraId="4989B739" w14:textId="77777777" w:rsidR="00301F0B" w:rsidRDefault="00000000">
      <w:pPr>
        <w:spacing w:after="120" w:line="264" w:lineRule="auto"/>
        <w:jc w:val="both"/>
      </w:pPr>
      <w:r>
        <w:t xml:space="preserve">Because ride-sharing demand is inherently regional and time-varying (surging during rush hours, weather events, or citywide gatherings), the architecture must scale elastically. Geo-partitioned Kafka topics and Cassandra's consistent-hashing-based partitioning both allow additional nodes to be added to absorb load in high-demand zones without a full system redesign. Stream-processing </w:t>
      </w:r>
      <w:r>
        <w:lastRenderedPageBreak/>
        <w:t>jobs would likely run on an auto-scaling cluster (Kubernetes-managed Flink/Spark) so that compute capacity tracks the diurnal demand curve rather than being permanently provisioned for peak load, which is both a cost and scalability optimisation. Fault tolerance would be addressed through Kafka's replicated partitions and consumer-group checkpointing, ensuring that a failed stream-processing node can resume from its last committed offset without losing or duplicating location events — a critical property since duplicated events would visibly distort the heatmap and forecast accuracy.</w:t>
      </w:r>
    </w:p>
    <w:p w14:paraId="4346E098" w14:textId="77777777" w:rsidR="00301F0B" w:rsidRDefault="00000000">
      <w:pPr>
        <w:pStyle w:val="Heading2"/>
        <w:spacing w:before="160" w:after="100"/>
      </w:pPr>
      <w:r>
        <w:rPr>
          <w:b/>
          <w:bCs/>
          <w:color w:val="2E5395"/>
          <w:sz w:val="28"/>
          <w:szCs w:val="28"/>
        </w:rPr>
        <w:t>3.6 Security Considerations</w:t>
      </w:r>
    </w:p>
    <w:p w14:paraId="11230DB9" w14:textId="77777777" w:rsidR="00301F0B" w:rsidRDefault="00000000">
      <w:pPr>
        <w:spacing w:after="120" w:line="264" w:lineRule="auto"/>
        <w:jc w:val="both"/>
      </w:pPr>
      <w:r>
        <w:t>Continuous location tracking of both drivers and riders is highly sensitive personal data, so the architecture would necessarily include device-level authentication (signed API tokens per trip session), TLS-encrypted transmission, and access controls that restrict raw individual-level location data to operational services while exposing only aggregated, anonymised density values to the analytics and forecasting layers that data scientists or third parties might query. Geo-cell aggregation itself functions as a privacy-preserving technique, since a heatmap built from cell-level counts does not require exposing any single rider's exact trajectory.</w:t>
      </w:r>
    </w:p>
    <w:p w14:paraId="08D23845" w14:textId="77777777" w:rsidR="00301F0B" w:rsidRDefault="00000000">
      <w:pPr>
        <w:pStyle w:val="Heading2"/>
        <w:spacing w:before="160" w:after="100"/>
      </w:pPr>
      <w:r>
        <w:rPr>
          <w:b/>
          <w:bCs/>
          <w:color w:val="2E5395"/>
          <w:sz w:val="28"/>
          <w:szCs w:val="28"/>
        </w:rPr>
        <w:t>3.7 Inferred End-to-End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1F0B" w14:paraId="423F1F14" w14:textId="77777777">
        <w:tblPrEx>
          <w:tblCellMar>
            <w:top w:w="0" w:type="dxa"/>
            <w:bottom w:w="0" w:type="dxa"/>
          </w:tblCellMar>
        </w:tblPrEx>
        <w:trPr>
          <w:tblHeader/>
        </w:trPr>
        <w:tc>
          <w:tcPr>
            <w:tcW w:w="3120" w:type="dxa"/>
            <w:shd w:val="clear" w:color="auto" w:fill="1F3864"/>
          </w:tcPr>
          <w:p w14:paraId="03C55C2D" w14:textId="77777777" w:rsidR="00301F0B" w:rsidRDefault="00000000">
            <w:r>
              <w:rPr>
                <w:b/>
                <w:bCs/>
                <w:color w:val="FFFFFF"/>
                <w:sz w:val="22"/>
                <w:szCs w:val="22"/>
              </w:rPr>
              <w:t>Layer</w:t>
            </w:r>
          </w:p>
        </w:tc>
        <w:tc>
          <w:tcPr>
            <w:tcW w:w="3120" w:type="dxa"/>
            <w:shd w:val="clear" w:color="auto" w:fill="1F3864"/>
          </w:tcPr>
          <w:p w14:paraId="456DEB29" w14:textId="77777777" w:rsidR="00301F0B" w:rsidRDefault="00000000">
            <w:r>
              <w:rPr>
                <w:b/>
                <w:bCs/>
                <w:color w:val="FFFFFF"/>
                <w:sz w:val="22"/>
                <w:szCs w:val="22"/>
              </w:rPr>
              <w:t>Probable Component</w:t>
            </w:r>
          </w:p>
        </w:tc>
        <w:tc>
          <w:tcPr>
            <w:tcW w:w="3120" w:type="dxa"/>
            <w:shd w:val="clear" w:color="auto" w:fill="1F3864"/>
          </w:tcPr>
          <w:p w14:paraId="24E3624E" w14:textId="77777777" w:rsidR="00301F0B" w:rsidRDefault="00000000">
            <w:r>
              <w:rPr>
                <w:b/>
                <w:bCs/>
                <w:color w:val="FFFFFF"/>
                <w:sz w:val="22"/>
                <w:szCs w:val="22"/>
              </w:rPr>
              <w:t>Justification</w:t>
            </w:r>
          </w:p>
        </w:tc>
      </w:tr>
      <w:tr w:rsidR="00301F0B" w14:paraId="2ED5BD59" w14:textId="77777777">
        <w:tblPrEx>
          <w:tblCellMar>
            <w:top w:w="0" w:type="dxa"/>
            <w:bottom w:w="0" w:type="dxa"/>
          </w:tblCellMar>
        </w:tblPrEx>
        <w:tc>
          <w:tcPr>
            <w:tcW w:w="3120" w:type="dxa"/>
          </w:tcPr>
          <w:p w14:paraId="0A982CD1" w14:textId="77777777" w:rsidR="00301F0B" w:rsidRDefault="00000000">
            <w:r>
              <w:rPr>
                <w:sz w:val="20"/>
                <w:szCs w:val="20"/>
              </w:rPr>
              <w:t>Client</w:t>
            </w:r>
          </w:p>
        </w:tc>
        <w:tc>
          <w:tcPr>
            <w:tcW w:w="3120" w:type="dxa"/>
          </w:tcPr>
          <w:p w14:paraId="0AFC0CA5" w14:textId="77777777" w:rsidR="00301F0B" w:rsidRDefault="00000000">
            <w:r>
              <w:rPr>
                <w:sz w:val="20"/>
                <w:szCs w:val="20"/>
              </w:rPr>
              <w:t>Driver/rider apps emitting GPS pings</w:t>
            </w:r>
          </w:p>
        </w:tc>
        <w:tc>
          <w:tcPr>
            <w:tcW w:w="3120" w:type="dxa"/>
          </w:tcPr>
          <w:p w14:paraId="027DCAB2" w14:textId="77777777" w:rsidR="00301F0B" w:rsidRDefault="00000000">
            <w:r>
              <w:rPr>
                <w:sz w:val="20"/>
                <w:szCs w:val="20"/>
              </w:rPr>
              <w:t>Live heatmap stated requirement</w:t>
            </w:r>
          </w:p>
        </w:tc>
      </w:tr>
      <w:tr w:rsidR="00301F0B" w14:paraId="2AAF6EE8" w14:textId="77777777">
        <w:tblPrEx>
          <w:tblCellMar>
            <w:top w:w="0" w:type="dxa"/>
            <w:bottom w:w="0" w:type="dxa"/>
          </w:tblCellMar>
        </w:tblPrEx>
        <w:tc>
          <w:tcPr>
            <w:tcW w:w="3120" w:type="dxa"/>
          </w:tcPr>
          <w:p w14:paraId="58CDB907" w14:textId="77777777" w:rsidR="00301F0B" w:rsidRDefault="00000000">
            <w:r>
              <w:rPr>
                <w:sz w:val="20"/>
                <w:szCs w:val="20"/>
              </w:rPr>
              <w:t>Ingestion</w:t>
            </w:r>
          </w:p>
        </w:tc>
        <w:tc>
          <w:tcPr>
            <w:tcW w:w="3120" w:type="dxa"/>
          </w:tcPr>
          <w:p w14:paraId="67402D23" w14:textId="77777777" w:rsidR="00301F0B" w:rsidRDefault="00000000">
            <w:r>
              <w:rPr>
                <w:sz w:val="20"/>
                <w:szCs w:val="20"/>
              </w:rPr>
              <w:t>Kafka, geo-hash partitioned</w:t>
            </w:r>
          </w:p>
        </w:tc>
        <w:tc>
          <w:tcPr>
            <w:tcW w:w="3120" w:type="dxa"/>
          </w:tcPr>
          <w:p w14:paraId="241091A0" w14:textId="77777777" w:rsidR="00301F0B" w:rsidRDefault="00000000">
            <w:r>
              <w:rPr>
                <w:sz w:val="20"/>
                <w:szCs w:val="20"/>
              </w:rPr>
              <w:t>High-velocity, location-keyed load balancing</w:t>
            </w:r>
          </w:p>
        </w:tc>
      </w:tr>
      <w:tr w:rsidR="00301F0B" w14:paraId="1B75396D" w14:textId="77777777">
        <w:tblPrEx>
          <w:tblCellMar>
            <w:top w:w="0" w:type="dxa"/>
            <w:bottom w:w="0" w:type="dxa"/>
          </w:tblCellMar>
        </w:tblPrEx>
        <w:tc>
          <w:tcPr>
            <w:tcW w:w="3120" w:type="dxa"/>
          </w:tcPr>
          <w:p w14:paraId="273E9492" w14:textId="77777777" w:rsidR="00301F0B" w:rsidRDefault="00000000">
            <w:r>
              <w:rPr>
                <w:sz w:val="20"/>
                <w:szCs w:val="20"/>
              </w:rPr>
              <w:t>Hot Storage</w:t>
            </w:r>
          </w:p>
        </w:tc>
        <w:tc>
          <w:tcPr>
            <w:tcW w:w="3120" w:type="dxa"/>
          </w:tcPr>
          <w:p w14:paraId="26D67A29" w14:textId="77777777" w:rsidR="00301F0B" w:rsidRDefault="00000000">
            <w:r>
              <w:rPr>
                <w:sz w:val="20"/>
                <w:szCs w:val="20"/>
              </w:rPr>
              <w:t>Cassandra / time-series DB</w:t>
            </w:r>
          </w:p>
        </w:tc>
        <w:tc>
          <w:tcPr>
            <w:tcW w:w="3120" w:type="dxa"/>
          </w:tcPr>
          <w:p w14:paraId="0D193790" w14:textId="77777777" w:rsidR="00301F0B" w:rsidRDefault="00000000">
            <w:r>
              <w:rPr>
                <w:sz w:val="20"/>
                <w:szCs w:val="20"/>
              </w:rPr>
              <w:t>High-throughput recent writes, fast reads</w:t>
            </w:r>
          </w:p>
        </w:tc>
      </w:tr>
      <w:tr w:rsidR="00301F0B" w14:paraId="2AA5F27D" w14:textId="77777777">
        <w:tblPrEx>
          <w:tblCellMar>
            <w:top w:w="0" w:type="dxa"/>
            <w:bottom w:w="0" w:type="dxa"/>
          </w:tblCellMar>
        </w:tblPrEx>
        <w:tc>
          <w:tcPr>
            <w:tcW w:w="3120" w:type="dxa"/>
          </w:tcPr>
          <w:p w14:paraId="7B28C138" w14:textId="77777777" w:rsidR="00301F0B" w:rsidRDefault="00000000">
            <w:r>
              <w:rPr>
                <w:sz w:val="20"/>
                <w:szCs w:val="20"/>
              </w:rPr>
              <w:t>Cold Storage</w:t>
            </w:r>
          </w:p>
        </w:tc>
        <w:tc>
          <w:tcPr>
            <w:tcW w:w="3120" w:type="dxa"/>
          </w:tcPr>
          <w:p w14:paraId="65896B24" w14:textId="77777777" w:rsidR="00301F0B" w:rsidRDefault="00000000">
            <w:r>
              <w:rPr>
                <w:sz w:val="20"/>
                <w:szCs w:val="20"/>
              </w:rPr>
              <w:t>S3 / HDFS data lake</w:t>
            </w:r>
          </w:p>
        </w:tc>
        <w:tc>
          <w:tcPr>
            <w:tcW w:w="3120" w:type="dxa"/>
          </w:tcPr>
          <w:p w14:paraId="63E03033" w14:textId="77777777" w:rsidR="00301F0B" w:rsidRDefault="00000000">
            <w:r>
              <w:rPr>
                <w:sz w:val="20"/>
                <w:szCs w:val="20"/>
              </w:rPr>
              <w:t>Historical trips for forecast training</w:t>
            </w:r>
          </w:p>
        </w:tc>
      </w:tr>
      <w:tr w:rsidR="00301F0B" w14:paraId="6C0200BB" w14:textId="77777777">
        <w:tblPrEx>
          <w:tblCellMar>
            <w:top w:w="0" w:type="dxa"/>
            <w:bottom w:w="0" w:type="dxa"/>
          </w:tblCellMar>
        </w:tblPrEx>
        <w:tc>
          <w:tcPr>
            <w:tcW w:w="3120" w:type="dxa"/>
          </w:tcPr>
          <w:p w14:paraId="3B5476B5" w14:textId="77777777" w:rsidR="00301F0B" w:rsidRDefault="00000000">
            <w:r>
              <w:rPr>
                <w:sz w:val="20"/>
                <w:szCs w:val="20"/>
              </w:rPr>
              <w:t>Stream Processing</w:t>
            </w:r>
          </w:p>
        </w:tc>
        <w:tc>
          <w:tcPr>
            <w:tcW w:w="3120" w:type="dxa"/>
          </w:tcPr>
          <w:p w14:paraId="325ADAAB" w14:textId="77777777" w:rsidR="00301F0B" w:rsidRDefault="00000000">
            <w:r>
              <w:rPr>
                <w:sz w:val="20"/>
                <w:szCs w:val="20"/>
              </w:rPr>
              <w:t>Flink / Spark Streaming</w:t>
            </w:r>
          </w:p>
        </w:tc>
        <w:tc>
          <w:tcPr>
            <w:tcW w:w="3120" w:type="dxa"/>
          </w:tcPr>
          <w:p w14:paraId="62838E96" w14:textId="77777777" w:rsidR="00301F0B" w:rsidRDefault="00000000">
            <w:r>
              <w:rPr>
                <w:sz w:val="20"/>
                <w:szCs w:val="20"/>
              </w:rPr>
              <w:t>Windowed spatial aggregation for heatmap</w:t>
            </w:r>
          </w:p>
        </w:tc>
      </w:tr>
      <w:tr w:rsidR="00301F0B" w14:paraId="2C6EC650" w14:textId="77777777">
        <w:tblPrEx>
          <w:tblCellMar>
            <w:top w:w="0" w:type="dxa"/>
            <w:bottom w:w="0" w:type="dxa"/>
          </w:tblCellMar>
        </w:tblPrEx>
        <w:tc>
          <w:tcPr>
            <w:tcW w:w="3120" w:type="dxa"/>
          </w:tcPr>
          <w:p w14:paraId="23E309E2" w14:textId="77777777" w:rsidR="00301F0B" w:rsidRDefault="00000000">
            <w:r>
              <w:rPr>
                <w:sz w:val="20"/>
                <w:szCs w:val="20"/>
              </w:rPr>
              <w:t>Batch Processing</w:t>
            </w:r>
          </w:p>
        </w:tc>
        <w:tc>
          <w:tcPr>
            <w:tcW w:w="3120" w:type="dxa"/>
          </w:tcPr>
          <w:p w14:paraId="57FEF7FF" w14:textId="77777777" w:rsidR="00301F0B" w:rsidRDefault="00000000">
            <w:r>
              <w:rPr>
                <w:sz w:val="20"/>
                <w:szCs w:val="20"/>
              </w:rPr>
              <w:t>Spark batch + ML model</w:t>
            </w:r>
          </w:p>
        </w:tc>
        <w:tc>
          <w:tcPr>
            <w:tcW w:w="3120" w:type="dxa"/>
          </w:tcPr>
          <w:p w14:paraId="6B7CC3C1" w14:textId="77777777" w:rsidR="00301F0B" w:rsidRDefault="00000000">
            <w:r>
              <w:rPr>
                <w:sz w:val="20"/>
                <w:szCs w:val="20"/>
              </w:rPr>
              <w:t>Demand forecasting per zone</w:t>
            </w:r>
          </w:p>
        </w:tc>
      </w:tr>
      <w:tr w:rsidR="00301F0B" w14:paraId="2E6551CA" w14:textId="77777777">
        <w:tblPrEx>
          <w:tblCellMar>
            <w:top w:w="0" w:type="dxa"/>
            <w:bottom w:w="0" w:type="dxa"/>
          </w:tblCellMar>
        </w:tblPrEx>
        <w:tc>
          <w:tcPr>
            <w:tcW w:w="3120" w:type="dxa"/>
          </w:tcPr>
          <w:p w14:paraId="30BAC700" w14:textId="77777777" w:rsidR="00301F0B" w:rsidRDefault="00000000">
            <w:r>
              <w:rPr>
                <w:sz w:val="20"/>
                <w:szCs w:val="20"/>
              </w:rPr>
              <w:t>Serving</w:t>
            </w:r>
          </w:p>
        </w:tc>
        <w:tc>
          <w:tcPr>
            <w:tcW w:w="3120" w:type="dxa"/>
          </w:tcPr>
          <w:p w14:paraId="08711FF9" w14:textId="77777777" w:rsidR="00301F0B" w:rsidRDefault="00000000">
            <w:r>
              <w:rPr>
                <w:sz w:val="20"/>
                <w:szCs w:val="20"/>
              </w:rPr>
              <w:t>WebSocket push / cache</w:t>
            </w:r>
          </w:p>
        </w:tc>
        <w:tc>
          <w:tcPr>
            <w:tcW w:w="3120" w:type="dxa"/>
          </w:tcPr>
          <w:p w14:paraId="76E4462E" w14:textId="77777777" w:rsidR="00301F0B" w:rsidRDefault="00000000">
            <w:r>
              <w:rPr>
                <w:sz w:val="20"/>
                <w:szCs w:val="20"/>
              </w:rPr>
              <w:t>Live map updates to app front-end</w:t>
            </w:r>
          </w:p>
        </w:tc>
      </w:tr>
      <w:tr w:rsidR="00301F0B" w14:paraId="244246F2" w14:textId="77777777">
        <w:tblPrEx>
          <w:tblCellMar>
            <w:top w:w="0" w:type="dxa"/>
            <w:bottom w:w="0" w:type="dxa"/>
          </w:tblCellMar>
        </w:tblPrEx>
        <w:tc>
          <w:tcPr>
            <w:tcW w:w="3120" w:type="dxa"/>
          </w:tcPr>
          <w:p w14:paraId="7FFF8E9E" w14:textId="77777777" w:rsidR="00301F0B" w:rsidRDefault="00000000">
            <w:r>
              <w:rPr>
                <w:sz w:val="20"/>
                <w:szCs w:val="20"/>
              </w:rPr>
              <w:t>Security</w:t>
            </w:r>
          </w:p>
        </w:tc>
        <w:tc>
          <w:tcPr>
            <w:tcW w:w="3120" w:type="dxa"/>
          </w:tcPr>
          <w:p w14:paraId="0A0F343E" w14:textId="77777777" w:rsidR="00301F0B" w:rsidRDefault="00000000">
            <w:r>
              <w:rPr>
                <w:sz w:val="20"/>
                <w:szCs w:val="20"/>
              </w:rPr>
              <w:t>TLS, token auth, geo-aggregation</w:t>
            </w:r>
          </w:p>
        </w:tc>
        <w:tc>
          <w:tcPr>
            <w:tcW w:w="3120" w:type="dxa"/>
          </w:tcPr>
          <w:p w14:paraId="0453F748" w14:textId="77777777" w:rsidR="00301F0B" w:rsidRDefault="00000000">
            <w:r>
              <w:rPr>
                <w:sz w:val="20"/>
                <w:szCs w:val="20"/>
              </w:rPr>
              <w:t>Location-privacy preservation</w:t>
            </w:r>
          </w:p>
        </w:tc>
      </w:tr>
    </w:tbl>
    <w:p w14:paraId="1DA877D3" w14:textId="77777777" w:rsidR="00301F0B" w:rsidRDefault="00000000">
      <w:pPr>
        <w:spacing w:after="120" w:line="264" w:lineRule="auto"/>
        <w:jc w:val="both"/>
      </w:pPr>
      <w:r>
        <w:t>Conclusion: The dual outputs of live heatmaps and demand forecasts are best explained by a bifurcated architecture — a geo-partitioned streaming pipeline with windowed aggregation for immediacy, layered over a historical data lake and batch forecasting pipeline for depth — unified by a common geo-hashed ingestion scheme that makes both paths computationally feasible at city scale.</w:t>
      </w:r>
    </w:p>
    <w:p w14:paraId="63099F2F" w14:textId="77777777" w:rsidR="00301F0B" w:rsidRDefault="00000000">
      <w:pPr>
        <w:pStyle w:val="Heading1"/>
        <w:spacing w:before="200" w:after="120"/>
      </w:pPr>
      <w:r>
        <w:rPr>
          <w:b/>
          <w:bCs/>
          <w:color w:val="1F3864"/>
        </w:rPr>
        <w:t>4. Task 3 — Near-Real-Time Fraud Detection Dashboard</w:t>
      </w:r>
    </w:p>
    <w:p w14:paraId="032CBD7F" w14:textId="77777777" w:rsidR="00301F0B" w:rsidRDefault="00000000">
      <w:pPr>
        <w:spacing w:after="120" w:line="264" w:lineRule="auto"/>
        <w:jc w:val="both"/>
      </w:pPr>
      <w:r>
        <w:t>Scenario (as stated): A fraud detection dashboard flags suspicious card transactions in near real time. The task requires inferring the probable big data security, streaming, and alerting mechanisms used.</w:t>
      </w:r>
    </w:p>
    <w:p w14:paraId="666E686F" w14:textId="77777777" w:rsidR="00301F0B" w:rsidRDefault="00000000">
      <w:pPr>
        <w:pStyle w:val="Heading2"/>
        <w:spacing w:before="160" w:after="100"/>
      </w:pPr>
      <w:r>
        <w:rPr>
          <w:b/>
          <w:bCs/>
          <w:color w:val="2E5395"/>
          <w:sz w:val="28"/>
          <w:szCs w:val="28"/>
        </w:rPr>
        <w:t>4.1 Data Characteristics</w:t>
      </w:r>
    </w:p>
    <w:p w14:paraId="34A9461D" w14:textId="77777777" w:rsidR="00301F0B" w:rsidRDefault="00000000">
      <w:pPr>
        <w:spacing w:after="120" w:line="264" w:lineRule="auto"/>
        <w:jc w:val="both"/>
      </w:pPr>
      <w:r>
        <w:t xml:space="preserve">Card transaction data is structured and high-value: card identifier (tokenised), merchant identifier, amount, currency, timestamp, geolocation, and device or terminal metadata. Although structured, its Veracity requirements are unusually strict, since both false negatives (missed fraud) and false </w:t>
      </w:r>
      <w:r>
        <w:lastRenderedPageBreak/>
        <w:t>positives (blocked legitimate purchases) carry direct financial and reputational cost. The explicit "near real time" requirement is the single most important constraint in this scenario, since it rules out any architecture relying primarily on batch processing for the flagging decision itself — a transaction must be scored and a decision returned within, at most, a few hundred milliseconds to a couple of seconds, well within the authorization window of a card network.</w:t>
      </w:r>
    </w:p>
    <w:p w14:paraId="5CF3A492" w14:textId="77777777" w:rsidR="00301F0B" w:rsidRDefault="00000000">
      <w:pPr>
        <w:pStyle w:val="Heading2"/>
        <w:spacing w:before="160" w:after="100"/>
      </w:pPr>
      <w:r>
        <w:rPr>
          <w:b/>
          <w:bCs/>
          <w:color w:val="2E5395"/>
          <w:sz w:val="28"/>
          <w:szCs w:val="28"/>
        </w:rPr>
        <w:t>4.2 Streaming Ingestion Architecture</w:t>
      </w:r>
    </w:p>
    <w:p w14:paraId="09FD4D4F" w14:textId="77777777" w:rsidR="00301F0B" w:rsidRDefault="00000000">
      <w:pPr>
        <w:spacing w:after="120" w:line="264" w:lineRule="auto"/>
        <w:jc w:val="both"/>
      </w:pPr>
      <w:r>
        <w:t>A probable implementation would place a distributed, low-latency messaging backbone (Apache Kafka, or a similarly durable log-based system) directly in the authorization path, fed by the payment gateway or issuing-bank switch. Each transaction event would be published to a topic partitioned by card identifier or account identifier, which is a deliberate design decision: partitioning by account ensures that all of a single card's recent transactions are processed in order on the same partition, which is essential for velocity-based fraud rules (for example, "three transactions in different cities within five minutes") that require comparing a transaction against that same card's very recent history.</w:t>
      </w:r>
    </w:p>
    <w:p w14:paraId="558B8220" w14:textId="77777777" w:rsidR="00301F0B" w:rsidRDefault="00000000">
      <w:pPr>
        <w:pStyle w:val="Heading2"/>
        <w:spacing w:before="160" w:after="100"/>
      </w:pPr>
      <w:r>
        <w:rPr>
          <w:b/>
          <w:bCs/>
          <w:color w:val="2E5395"/>
          <w:sz w:val="28"/>
          <w:szCs w:val="28"/>
        </w:rPr>
        <w:t>4.3 Real-Time Processing and Feature Extraction</w:t>
      </w:r>
    </w:p>
    <w:p w14:paraId="640BE8D4" w14:textId="77777777" w:rsidR="00301F0B" w:rsidRDefault="00000000">
      <w:pPr>
        <w:spacing w:after="120" w:line="264" w:lineRule="auto"/>
        <w:jc w:val="both"/>
      </w:pPr>
      <w:r>
        <w:t>A stream-processing engine such as Apache Flink (frequently chosen in industry specifically for its low-latency, exactly-once processing guarantees) or Kafka Streams would consume the transaction topic and compute rolling features in real time: transaction velocity per card over the last few minutes, deviation from the cardholder's typical spending amount or location, merchant-category risk scores, and device-fingerprint match rates. These rolling features would likely be maintained in a fast key-value store (Redis) keyed by card identifier, since recomputing a customer's full transaction history from cold storage for every incoming transaction would violate the near-real-time latency budget. This separation — an in-memory feature store updated incrementally by the stream processor, queried synchronously during scoring — is a standard and well-justified pattern for low-latency ML inference pipelines.</w:t>
      </w:r>
    </w:p>
    <w:p w14:paraId="37EFF9BD" w14:textId="77777777" w:rsidR="00301F0B" w:rsidRDefault="00000000">
      <w:pPr>
        <w:pStyle w:val="Heading2"/>
        <w:spacing w:before="160" w:after="100"/>
      </w:pPr>
      <w:r>
        <w:rPr>
          <w:b/>
          <w:bCs/>
          <w:color w:val="2E5395"/>
          <w:sz w:val="28"/>
          <w:szCs w:val="28"/>
        </w:rPr>
        <w:t>4.4 Fraud Detection Logic and Analytics</w:t>
      </w:r>
    </w:p>
    <w:p w14:paraId="0C4C90A5" w14:textId="77777777" w:rsidR="00301F0B" w:rsidRDefault="00000000">
      <w:pPr>
        <w:spacing w:after="120" w:line="264" w:lineRule="auto"/>
        <w:jc w:val="both"/>
      </w:pPr>
      <w:r>
        <w:t>The scoring stage would most plausibly combine two layers: a fast deterministic rules engine (hard thresholds such as impossible-travel or blacklisted-merchant checks) and a machine-learning classifier (commonly a gradient-boosted model or a lightweight neural network trained offline on labelled historical fraud data) that outputs a risk probability from the rolling features. Running the rules engine first as a cheap filter, with the ML model invoked for the remaining ambiguous cases, is an inferred design decision justified by the need to keep median-case latency low while still applying a more expensive model to borderline transactions. Model training itself would occur offline in a batch pipeline (Spark) over historical labelled transactions stored in the data lake, with the resulting model periodically deployed to the streaming scorer — an example of the broader industry pattern of "train in batch, serve in stream."</w:t>
      </w:r>
    </w:p>
    <w:p w14:paraId="7055BA44" w14:textId="77777777" w:rsidR="00301F0B" w:rsidRDefault="00000000">
      <w:pPr>
        <w:pStyle w:val="Heading2"/>
        <w:spacing w:before="160" w:after="100"/>
      </w:pPr>
      <w:r>
        <w:rPr>
          <w:b/>
          <w:bCs/>
          <w:color w:val="2E5395"/>
          <w:sz w:val="28"/>
          <w:szCs w:val="28"/>
        </w:rPr>
        <w:t>4.5 Alerting and Dashboard Architecture</w:t>
      </w:r>
    </w:p>
    <w:p w14:paraId="23D7C8FA" w14:textId="77777777" w:rsidR="00301F0B" w:rsidRDefault="00000000">
      <w:pPr>
        <w:spacing w:after="120" w:line="264" w:lineRule="auto"/>
        <w:jc w:val="both"/>
      </w:pPr>
      <w:r>
        <w:t xml:space="preserve">Transactions scored above a risk threshold would be published to a dedicated "alerts" topic, consumed by an alerting service that can trigger multiple actions: pushing a live update to the </w:t>
      </w:r>
      <w:r>
        <w:lastRenderedPageBreak/>
        <w:t xml:space="preserve">analyst-facing dashboard (likely via </w:t>
      </w:r>
      <w:proofErr w:type="spellStart"/>
      <w:r>
        <w:t>WebSockets</w:t>
      </w:r>
      <w:proofErr w:type="spellEnd"/>
      <w:r>
        <w:t xml:space="preserve"> or server-sent events for immediacy), invoking a step-up authentication challenge on the transaction, or notifying the cardholder. The dashboard's backend would query a low-latency store (Elasticsearch is a strong candidate here, given its native support for near-real-time indexing and full-text/faceted search, which suits analysts filtering alerts by merchant, region, or risk score) rather than querying the raw transaction stream directly, decoupling dashboard read performance from ingestion load.</w:t>
      </w:r>
    </w:p>
    <w:p w14:paraId="2845E57B" w14:textId="77777777" w:rsidR="00301F0B" w:rsidRDefault="00000000">
      <w:pPr>
        <w:pStyle w:val="Heading2"/>
        <w:spacing w:before="160" w:after="100"/>
      </w:pPr>
      <w:r>
        <w:rPr>
          <w:b/>
          <w:bCs/>
          <w:color w:val="2E5395"/>
          <w:sz w:val="28"/>
          <w:szCs w:val="28"/>
        </w:rPr>
        <w:t>4.6 Storage Strategy</w:t>
      </w:r>
    </w:p>
    <w:p w14:paraId="1C815E2D" w14:textId="77777777" w:rsidR="00301F0B" w:rsidRDefault="00000000">
      <w:pPr>
        <w:spacing w:after="120" w:line="264" w:lineRule="auto"/>
        <w:jc w:val="both"/>
      </w:pPr>
      <w:r>
        <w:t>All transactions, flagged and unflagged alike, would still be persisted to durable storage for compliance, auditing, and future model retraining, most plausibly written asynchronously from the stream to a data lake in a columnar format. This dual-write pattern — synchronous path for scoring, asynchronous path for durable archival — allows the latency-critical decision path to remain unencumbered by slower storage I/O while still meeting the long-term Veracity and auditability requirements common in financial systems.</w:t>
      </w:r>
    </w:p>
    <w:p w14:paraId="2A06AA8F" w14:textId="77777777" w:rsidR="00301F0B" w:rsidRDefault="00000000">
      <w:pPr>
        <w:pStyle w:val="Heading2"/>
        <w:spacing w:before="160" w:after="100"/>
      </w:pPr>
      <w:r>
        <w:rPr>
          <w:b/>
          <w:bCs/>
          <w:color w:val="2E5395"/>
          <w:sz w:val="28"/>
          <w:szCs w:val="28"/>
        </w:rPr>
        <w:t>4.7 Security Mechanisms</w:t>
      </w:r>
    </w:p>
    <w:p w14:paraId="5CC9EAFE" w14:textId="77777777" w:rsidR="00301F0B" w:rsidRDefault="00000000">
      <w:pPr>
        <w:spacing w:after="120" w:line="264" w:lineRule="auto"/>
        <w:jc w:val="both"/>
      </w:pPr>
      <w:r>
        <w:t>Given the extreme sensitivity of payment card data, the architecture would almost certainly apply tokenisation or format-preserving encryption of the primary account number before it ever reaches the analytics layer, in line with PCI-DSS requirements. End-to-end TLS, strict network segmentation between the scoring service and the broader analytics environment, and fine-grained role-based access control over the dashboard (so that analysts see only tokenised identifiers, never raw card numbers) are all reasonable inferred requirements. Comprehensive audit logging of every access to transaction data would also be expected, both for regulatory compliance and for post-incident forensic investigation.</w:t>
      </w:r>
    </w:p>
    <w:p w14:paraId="4948F135" w14:textId="77777777" w:rsidR="00301F0B" w:rsidRDefault="00000000">
      <w:pPr>
        <w:pStyle w:val="Heading2"/>
        <w:spacing w:before="160" w:after="100"/>
      </w:pPr>
      <w:r>
        <w:rPr>
          <w:b/>
          <w:bCs/>
          <w:color w:val="2E5395"/>
          <w:sz w:val="28"/>
          <w:szCs w:val="28"/>
        </w:rPr>
        <w:t>4.8 Scalability, Latency, and Fault Tolerance</w:t>
      </w:r>
    </w:p>
    <w:p w14:paraId="0E5A5D6B" w14:textId="77777777" w:rsidR="00301F0B" w:rsidRDefault="00000000">
      <w:pPr>
        <w:spacing w:after="120" w:line="264" w:lineRule="auto"/>
        <w:jc w:val="both"/>
      </w:pPr>
      <w:r>
        <w:t>Horizontal partitioning of the Kafka topic and the stream-processing cluster allows throughput to scale with transaction volume, which is essential given that payment volume spikes sharply around retail peaks. Exactly-once processing semantics (supported natively by Flink and by Kafka's transactional producer/consumer APIs) are a necessary design choice, since duplicate processing of a single transaction could cause either a missed fraud flag or an erroneous double block, both of which are unacceptable in a financial context.</w:t>
      </w:r>
    </w:p>
    <w:p w14:paraId="3BBE7936" w14:textId="77777777" w:rsidR="00301F0B" w:rsidRDefault="00000000">
      <w:pPr>
        <w:pStyle w:val="Heading2"/>
        <w:spacing w:before="160" w:after="100"/>
      </w:pPr>
      <w:r>
        <w:rPr>
          <w:b/>
          <w:bCs/>
          <w:color w:val="2E5395"/>
          <w:sz w:val="28"/>
          <w:szCs w:val="28"/>
        </w:rPr>
        <w:t>4.9 Inferred End-to-End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1F0B" w14:paraId="0C5DB196" w14:textId="77777777">
        <w:tblPrEx>
          <w:tblCellMar>
            <w:top w:w="0" w:type="dxa"/>
            <w:bottom w:w="0" w:type="dxa"/>
          </w:tblCellMar>
        </w:tblPrEx>
        <w:trPr>
          <w:tblHeader/>
        </w:trPr>
        <w:tc>
          <w:tcPr>
            <w:tcW w:w="3120" w:type="dxa"/>
            <w:shd w:val="clear" w:color="auto" w:fill="1F3864"/>
          </w:tcPr>
          <w:p w14:paraId="153CCDF5" w14:textId="77777777" w:rsidR="00301F0B" w:rsidRDefault="00000000">
            <w:r>
              <w:rPr>
                <w:b/>
                <w:bCs/>
                <w:color w:val="FFFFFF"/>
                <w:sz w:val="22"/>
                <w:szCs w:val="22"/>
              </w:rPr>
              <w:t>Layer</w:t>
            </w:r>
          </w:p>
        </w:tc>
        <w:tc>
          <w:tcPr>
            <w:tcW w:w="3120" w:type="dxa"/>
            <w:shd w:val="clear" w:color="auto" w:fill="1F3864"/>
          </w:tcPr>
          <w:p w14:paraId="58B5F277" w14:textId="77777777" w:rsidR="00301F0B" w:rsidRDefault="00000000">
            <w:r>
              <w:rPr>
                <w:b/>
                <w:bCs/>
                <w:color w:val="FFFFFF"/>
                <w:sz w:val="22"/>
                <w:szCs w:val="22"/>
              </w:rPr>
              <w:t>Probable Component</w:t>
            </w:r>
          </w:p>
        </w:tc>
        <w:tc>
          <w:tcPr>
            <w:tcW w:w="3120" w:type="dxa"/>
            <w:shd w:val="clear" w:color="auto" w:fill="1F3864"/>
          </w:tcPr>
          <w:p w14:paraId="57239D7D" w14:textId="77777777" w:rsidR="00301F0B" w:rsidRDefault="00000000">
            <w:r>
              <w:rPr>
                <w:b/>
                <w:bCs/>
                <w:color w:val="FFFFFF"/>
                <w:sz w:val="22"/>
                <w:szCs w:val="22"/>
              </w:rPr>
              <w:t>Justification</w:t>
            </w:r>
          </w:p>
        </w:tc>
      </w:tr>
      <w:tr w:rsidR="00301F0B" w14:paraId="798759A6" w14:textId="77777777">
        <w:tblPrEx>
          <w:tblCellMar>
            <w:top w:w="0" w:type="dxa"/>
            <w:bottom w:w="0" w:type="dxa"/>
          </w:tblCellMar>
        </w:tblPrEx>
        <w:tc>
          <w:tcPr>
            <w:tcW w:w="3120" w:type="dxa"/>
          </w:tcPr>
          <w:p w14:paraId="01726D8F" w14:textId="77777777" w:rsidR="00301F0B" w:rsidRDefault="00000000">
            <w:r>
              <w:rPr>
                <w:sz w:val="20"/>
                <w:szCs w:val="20"/>
              </w:rPr>
              <w:t>Ingestion</w:t>
            </w:r>
          </w:p>
        </w:tc>
        <w:tc>
          <w:tcPr>
            <w:tcW w:w="3120" w:type="dxa"/>
          </w:tcPr>
          <w:p w14:paraId="1DE1C4EB" w14:textId="77777777" w:rsidR="00301F0B" w:rsidRDefault="00000000">
            <w:r>
              <w:rPr>
                <w:sz w:val="20"/>
                <w:szCs w:val="20"/>
              </w:rPr>
              <w:t>Kafka, partitioned by card ID</w:t>
            </w:r>
          </w:p>
        </w:tc>
        <w:tc>
          <w:tcPr>
            <w:tcW w:w="3120" w:type="dxa"/>
          </w:tcPr>
          <w:p w14:paraId="794C2729" w14:textId="77777777" w:rsidR="00301F0B" w:rsidRDefault="00000000">
            <w:r>
              <w:rPr>
                <w:sz w:val="20"/>
                <w:szCs w:val="20"/>
              </w:rPr>
              <w:t>Near-real-time ordered transaction stream</w:t>
            </w:r>
          </w:p>
        </w:tc>
      </w:tr>
      <w:tr w:rsidR="00301F0B" w14:paraId="30FAE7DA" w14:textId="77777777">
        <w:tblPrEx>
          <w:tblCellMar>
            <w:top w:w="0" w:type="dxa"/>
            <w:bottom w:w="0" w:type="dxa"/>
          </w:tblCellMar>
        </w:tblPrEx>
        <w:tc>
          <w:tcPr>
            <w:tcW w:w="3120" w:type="dxa"/>
          </w:tcPr>
          <w:p w14:paraId="58872060" w14:textId="77777777" w:rsidR="00301F0B" w:rsidRDefault="00000000">
            <w:r>
              <w:rPr>
                <w:sz w:val="20"/>
                <w:szCs w:val="20"/>
              </w:rPr>
              <w:t>Stream Processing</w:t>
            </w:r>
          </w:p>
        </w:tc>
        <w:tc>
          <w:tcPr>
            <w:tcW w:w="3120" w:type="dxa"/>
          </w:tcPr>
          <w:p w14:paraId="52F1F271" w14:textId="77777777" w:rsidR="00301F0B" w:rsidRDefault="00000000">
            <w:r>
              <w:rPr>
                <w:sz w:val="20"/>
                <w:szCs w:val="20"/>
              </w:rPr>
              <w:t>Apache Flink / Kafka Streams</w:t>
            </w:r>
          </w:p>
        </w:tc>
        <w:tc>
          <w:tcPr>
            <w:tcW w:w="3120" w:type="dxa"/>
          </w:tcPr>
          <w:p w14:paraId="26EEC4A6" w14:textId="77777777" w:rsidR="00301F0B" w:rsidRDefault="00000000">
            <w:r>
              <w:rPr>
                <w:sz w:val="20"/>
                <w:szCs w:val="20"/>
              </w:rPr>
              <w:t>Sub-second feature computation</w:t>
            </w:r>
          </w:p>
        </w:tc>
      </w:tr>
      <w:tr w:rsidR="00301F0B" w14:paraId="355AF2E9" w14:textId="77777777">
        <w:tblPrEx>
          <w:tblCellMar>
            <w:top w:w="0" w:type="dxa"/>
            <w:bottom w:w="0" w:type="dxa"/>
          </w:tblCellMar>
        </w:tblPrEx>
        <w:tc>
          <w:tcPr>
            <w:tcW w:w="3120" w:type="dxa"/>
          </w:tcPr>
          <w:p w14:paraId="249D5DFB" w14:textId="77777777" w:rsidR="00301F0B" w:rsidRDefault="00000000">
            <w:r>
              <w:rPr>
                <w:sz w:val="20"/>
                <w:szCs w:val="20"/>
              </w:rPr>
              <w:t>Feature Store</w:t>
            </w:r>
          </w:p>
        </w:tc>
        <w:tc>
          <w:tcPr>
            <w:tcW w:w="3120" w:type="dxa"/>
          </w:tcPr>
          <w:p w14:paraId="442B1A1C" w14:textId="77777777" w:rsidR="00301F0B" w:rsidRDefault="00000000">
            <w:r>
              <w:rPr>
                <w:sz w:val="20"/>
                <w:szCs w:val="20"/>
              </w:rPr>
              <w:t>Redis (in-memory KV)</w:t>
            </w:r>
          </w:p>
        </w:tc>
        <w:tc>
          <w:tcPr>
            <w:tcW w:w="3120" w:type="dxa"/>
          </w:tcPr>
          <w:p w14:paraId="4495794A" w14:textId="77777777" w:rsidR="00301F0B" w:rsidRDefault="00000000">
            <w:r>
              <w:rPr>
                <w:sz w:val="20"/>
                <w:szCs w:val="20"/>
              </w:rPr>
              <w:t>Low-latency lookup of rolling features</w:t>
            </w:r>
          </w:p>
        </w:tc>
      </w:tr>
      <w:tr w:rsidR="00301F0B" w14:paraId="3C2E3A8C" w14:textId="77777777">
        <w:tblPrEx>
          <w:tblCellMar>
            <w:top w:w="0" w:type="dxa"/>
            <w:bottom w:w="0" w:type="dxa"/>
          </w:tblCellMar>
        </w:tblPrEx>
        <w:tc>
          <w:tcPr>
            <w:tcW w:w="3120" w:type="dxa"/>
          </w:tcPr>
          <w:p w14:paraId="7D25A51D" w14:textId="77777777" w:rsidR="00301F0B" w:rsidRDefault="00000000">
            <w:r>
              <w:rPr>
                <w:sz w:val="20"/>
                <w:szCs w:val="20"/>
              </w:rPr>
              <w:t>Scoring</w:t>
            </w:r>
          </w:p>
        </w:tc>
        <w:tc>
          <w:tcPr>
            <w:tcW w:w="3120" w:type="dxa"/>
          </w:tcPr>
          <w:p w14:paraId="283C4CE3" w14:textId="77777777" w:rsidR="00301F0B" w:rsidRDefault="00000000">
            <w:r>
              <w:rPr>
                <w:sz w:val="20"/>
                <w:szCs w:val="20"/>
              </w:rPr>
              <w:t>Rules engine + ML classifier</w:t>
            </w:r>
          </w:p>
        </w:tc>
        <w:tc>
          <w:tcPr>
            <w:tcW w:w="3120" w:type="dxa"/>
          </w:tcPr>
          <w:p w14:paraId="2C5E63FA" w14:textId="77777777" w:rsidR="00301F0B" w:rsidRDefault="00000000">
            <w:r>
              <w:rPr>
                <w:sz w:val="20"/>
                <w:szCs w:val="20"/>
              </w:rPr>
              <w:t>Fast filtering + accurate ambiguous-case scoring</w:t>
            </w:r>
          </w:p>
        </w:tc>
      </w:tr>
      <w:tr w:rsidR="00301F0B" w14:paraId="7A9E9518" w14:textId="77777777">
        <w:tblPrEx>
          <w:tblCellMar>
            <w:top w:w="0" w:type="dxa"/>
            <w:bottom w:w="0" w:type="dxa"/>
          </w:tblCellMar>
        </w:tblPrEx>
        <w:tc>
          <w:tcPr>
            <w:tcW w:w="3120" w:type="dxa"/>
          </w:tcPr>
          <w:p w14:paraId="5488E6B3" w14:textId="77777777" w:rsidR="00301F0B" w:rsidRDefault="00000000">
            <w:r>
              <w:rPr>
                <w:sz w:val="20"/>
                <w:szCs w:val="20"/>
              </w:rPr>
              <w:t>Alerting</w:t>
            </w:r>
          </w:p>
        </w:tc>
        <w:tc>
          <w:tcPr>
            <w:tcW w:w="3120" w:type="dxa"/>
          </w:tcPr>
          <w:p w14:paraId="230732B4" w14:textId="77777777" w:rsidR="00301F0B" w:rsidRDefault="00000000">
            <w:r>
              <w:rPr>
                <w:sz w:val="20"/>
                <w:szCs w:val="20"/>
              </w:rPr>
              <w:t>Alerts topic + WebSocket push</w:t>
            </w:r>
          </w:p>
        </w:tc>
        <w:tc>
          <w:tcPr>
            <w:tcW w:w="3120" w:type="dxa"/>
          </w:tcPr>
          <w:p w14:paraId="6630D66A" w14:textId="77777777" w:rsidR="00301F0B" w:rsidRDefault="00000000">
            <w:r>
              <w:rPr>
                <w:sz w:val="20"/>
                <w:szCs w:val="20"/>
              </w:rPr>
              <w:t>Immediate analyst notification</w:t>
            </w:r>
          </w:p>
        </w:tc>
      </w:tr>
      <w:tr w:rsidR="00301F0B" w14:paraId="7B22C0FA" w14:textId="77777777">
        <w:tblPrEx>
          <w:tblCellMar>
            <w:top w:w="0" w:type="dxa"/>
            <w:bottom w:w="0" w:type="dxa"/>
          </w:tblCellMar>
        </w:tblPrEx>
        <w:tc>
          <w:tcPr>
            <w:tcW w:w="3120" w:type="dxa"/>
          </w:tcPr>
          <w:p w14:paraId="30CAABD6" w14:textId="77777777" w:rsidR="00301F0B" w:rsidRDefault="00000000">
            <w:r>
              <w:rPr>
                <w:sz w:val="20"/>
                <w:szCs w:val="20"/>
              </w:rPr>
              <w:t>Dashboard Backend</w:t>
            </w:r>
          </w:p>
        </w:tc>
        <w:tc>
          <w:tcPr>
            <w:tcW w:w="3120" w:type="dxa"/>
          </w:tcPr>
          <w:p w14:paraId="6A2EFCCB" w14:textId="77777777" w:rsidR="00301F0B" w:rsidRDefault="00000000">
            <w:r>
              <w:rPr>
                <w:sz w:val="20"/>
                <w:szCs w:val="20"/>
              </w:rPr>
              <w:t>Elasticsearch</w:t>
            </w:r>
          </w:p>
        </w:tc>
        <w:tc>
          <w:tcPr>
            <w:tcW w:w="3120" w:type="dxa"/>
          </w:tcPr>
          <w:p w14:paraId="27A4DF99" w14:textId="77777777" w:rsidR="00301F0B" w:rsidRDefault="00000000">
            <w:r>
              <w:rPr>
                <w:sz w:val="20"/>
                <w:szCs w:val="20"/>
              </w:rPr>
              <w:t>Near-real-time indexed search/filter</w:t>
            </w:r>
          </w:p>
        </w:tc>
      </w:tr>
      <w:tr w:rsidR="00301F0B" w14:paraId="0785E440" w14:textId="77777777">
        <w:tblPrEx>
          <w:tblCellMar>
            <w:top w:w="0" w:type="dxa"/>
            <w:bottom w:w="0" w:type="dxa"/>
          </w:tblCellMar>
        </w:tblPrEx>
        <w:tc>
          <w:tcPr>
            <w:tcW w:w="3120" w:type="dxa"/>
          </w:tcPr>
          <w:p w14:paraId="7F523333" w14:textId="77777777" w:rsidR="00301F0B" w:rsidRDefault="00000000">
            <w:r>
              <w:rPr>
                <w:sz w:val="20"/>
                <w:szCs w:val="20"/>
              </w:rPr>
              <w:t>Durable Storage</w:t>
            </w:r>
          </w:p>
        </w:tc>
        <w:tc>
          <w:tcPr>
            <w:tcW w:w="3120" w:type="dxa"/>
          </w:tcPr>
          <w:p w14:paraId="0F831973" w14:textId="77777777" w:rsidR="00301F0B" w:rsidRDefault="00000000">
            <w:r>
              <w:rPr>
                <w:sz w:val="20"/>
                <w:szCs w:val="20"/>
              </w:rPr>
              <w:t>Data lake (Parquet), async write</w:t>
            </w:r>
          </w:p>
        </w:tc>
        <w:tc>
          <w:tcPr>
            <w:tcW w:w="3120" w:type="dxa"/>
          </w:tcPr>
          <w:p w14:paraId="3374163D" w14:textId="77777777" w:rsidR="00301F0B" w:rsidRDefault="00000000">
            <w:r>
              <w:rPr>
                <w:sz w:val="20"/>
                <w:szCs w:val="20"/>
              </w:rPr>
              <w:t>Compliance, audit, retraining</w:t>
            </w:r>
          </w:p>
        </w:tc>
      </w:tr>
      <w:tr w:rsidR="00301F0B" w14:paraId="77F05AB9" w14:textId="77777777">
        <w:tblPrEx>
          <w:tblCellMar>
            <w:top w:w="0" w:type="dxa"/>
            <w:bottom w:w="0" w:type="dxa"/>
          </w:tblCellMar>
        </w:tblPrEx>
        <w:tc>
          <w:tcPr>
            <w:tcW w:w="3120" w:type="dxa"/>
          </w:tcPr>
          <w:p w14:paraId="369226AB" w14:textId="77777777" w:rsidR="00301F0B" w:rsidRDefault="00000000">
            <w:r>
              <w:rPr>
                <w:sz w:val="20"/>
                <w:szCs w:val="20"/>
              </w:rPr>
              <w:t>Security</w:t>
            </w:r>
          </w:p>
        </w:tc>
        <w:tc>
          <w:tcPr>
            <w:tcW w:w="3120" w:type="dxa"/>
          </w:tcPr>
          <w:p w14:paraId="1FE24989" w14:textId="77777777" w:rsidR="00301F0B" w:rsidRDefault="00000000">
            <w:r>
              <w:rPr>
                <w:sz w:val="20"/>
                <w:szCs w:val="20"/>
              </w:rPr>
              <w:t>Tokenisation, TLS, RBAC, audit logs</w:t>
            </w:r>
          </w:p>
        </w:tc>
        <w:tc>
          <w:tcPr>
            <w:tcW w:w="3120" w:type="dxa"/>
          </w:tcPr>
          <w:p w14:paraId="472BD753" w14:textId="77777777" w:rsidR="00301F0B" w:rsidRDefault="00000000">
            <w:r>
              <w:rPr>
                <w:sz w:val="20"/>
                <w:szCs w:val="20"/>
              </w:rPr>
              <w:t>PCI-DSS-aligned protection</w:t>
            </w:r>
          </w:p>
        </w:tc>
      </w:tr>
    </w:tbl>
    <w:p w14:paraId="5AD567A9" w14:textId="77777777" w:rsidR="00301F0B" w:rsidRDefault="00000000">
      <w:pPr>
        <w:spacing w:after="120" w:line="264" w:lineRule="auto"/>
        <w:jc w:val="both"/>
      </w:pPr>
      <w:r>
        <w:lastRenderedPageBreak/>
        <w:t>Conclusion: The near-real-time constraint is the dominant design driver in this scenario, and every inferred component — account-partitioned streaming ingestion, an in-memory feature store, a two-stage rules-plus-ML scoring pipeline, and a decoupled alerting/dashboard layer — exists specifically to keep the fraud-decision path within a strict latency budget while still preserving the durability, security, and auditability that financial-transaction data demands.</w:t>
      </w:r>
    </w:p>
    <w:p w14:paraId="47F6B35C" w14:textId="77777777" w:rsidR="00301F0B" w:rsidRDefault="00000000">
      <w:pPr>
        <w:pStyle w:val="Heading1"/>
        <w:spacing w:before="200" w:after="120"/>
      </w:pPr>
      <w:r>
        <w:rPr>
          <w:b/>
          <w:bCs/>
          <w:color w:val="1F3864"/>
        </w:rPr>
        <w:t>5. Task 4 — Social Media Big Data Platform</w:t>
      </w:r>
    </w:p>
    <w:p w14:paraId="5E4B98A7" w14:textId="77777777" w:rsidR="00301F0B" w:rsidRDefault="00000000">
      <w:pPr>
        <w:spacing w:after="120" w:line="264" w:lineRule="auto"/>
        <w:jc w:val="both"/>
      </w:pPr>
      <w:r>
        <w:t>Scenario (as stated): A social media platform stores videos, text comments, hashtags, and user engagement metrics. The task requires inferring how structured and unstructured data are probably managed together.</w:t>
      </w:r>
    </w:p>
    <w:p w14:paraId="152C1C68" w14:textId="77777777" w:rsidR="00301F0B" w:rsidRDefault="00000000">
      <w:pPr>
        <w:pStyle w:val="Heading2"/>
        <w:spacing w:before="160" w:after="100"/>
      </w:pPr>
      <w:r>
        <w:rPr>
          <w:b/>
          <w:bCs/>
          <w:color w:val="2E5395"/>
          <w:sz w:val="28"/>
          <w:szCs w:val="28"/>
        </w:rPr>
        <w:t>5.1 Data Characteristics</w:t>
      </w:r>
    </w:p>
    <w:p w14:paraId="584A7E2C" w14:textId="77777777" w:rsidR="00301F0B" w:rsidRDefault="00000000">
      <w:pPr>
        <w:spacing w:after="120" w:line="264" w:lineRule="auto"/>
        <w:jc w:val="both"/>
      </w:pPr>
      <w:r>
        <w:t>This scenario is explicitly framed around data Variety, naming four distinct data forms in a single sentence. Videos are large, unstructured binary objects. Text comments are semi-structured (a JSON-like envelope of author, timestamp, and parent-post identifiers wrapping unstructured free text). Hashtags are short structured or semi-structured tokens that also function as a graph/index key linking posts together. Engagement metrics (likes, shares, views, watch-time) are structured, high-frequency numeric counters. The core technical challenge implied by the scenario — and the reason it explicitly asks how these are "managed together" — is that no single database technology is well suited to all four forms simultaneously, which strongly implies a polyglot persistence architecture rather than a single monolithic database.</w:t>
      </w:r>
    </w:p>
    <w:p w14:paraId="3CD74742" w14:textId="77777777" w:rsidR="00301F0B" w:rsidRDefault="00000000">
      <w:pPr>
        <w:pStyle w:val="Heading2"/>
        <w:spacing w:before="160" w:after="100"/>
      </w:pPr>
      <w:r>
        <w:rPr>
          <w:b/>
          <w:bCs/>
          <w:color w:val="2E5395"/>
          <w:sz w:val="28"/>
          <w:szCs w:val="28"/>
        </w:rPr>
        <w:t>5.2 Data Ingestion</w:t>
      </w:r>
    </w:p>
    <w:p w14:paraId="29D590AF" w14:textId="77777777" w:rsidR="00301F0B" w:rsidRDefault="00000000">
      <w:pPr>
        <w:spacing w:after="120" w:line="264" w:lineRule="auto"/>
        <w:jc w:val="both"/>
      </w:pPr>
      <w:r>
        <w:t xml:space="preserve">Video uploads would likely be handled through a dedicated media-ingestion path: the client uploads directly to an object store via a pre-signed URL (avoiding routing large binary payloads through the application's core servers), after which the object store triggers an asynchronous transcoding pipeline. Comments, hashtags, and engagement events, being small and extremely high-frequency, would flow through an event-streaming backbone such as Kafka, which is well suited to absorbing bursty write patterns (a viral post can generate tens of thousands of </w:t>
      </w:r>
      <w:proofErr w:type="gramStart"/>
      <w:r>
        <w:t>comment</w:t>
      </w:r>
      <w:proofErr w:type="gramEnd"/>
      <w:r>
        <w:t xml:space="preserve"> and like events within minutes) without overwhelming downstream databases. This separation of a bulk-media path from a high-frequency-event path is a deliberate and necessary design decision, since a single ingestion mechanism optimised for either large files or high-frequency small events would perform poorly on the other.</w:t>
      </w:r>
    </w:p>
    <w:p w14:paraId="011C5E06" w14:textId="77777777" w:rsidR="00301F0B" w:rsidRDefault="00000000">
      <w:pPr>
        <w:pStyle w:val="Heading2"/>
        <w:spacing w:before="160" w:after="100"/>
      </w:pPr>
      <w:r>
        <w:rPr>
          <w:b/>
          <w:bCs/>
          <w:color w:val="2E5395"/>
          <w:sz w:val="28"/>
          <w:szCs w:val="28"/>
        </w:rPr>
        <w:t>5.3 Object and Distributed Storage for Video</w:t>
      </w:r>
    </w:p>
    <w:p w14:paraId="384FB47E" w14:textId="77777777" w:rsidR="00301F0B" w:rsidRDefault="00000000">
      <w:pPr>
        <w:spacing w:after="120" w:line="264" w:lineRule="auto"/>
        <w:jc w:val="both"/>
      </w:pPr>
      <w:r>
        <w:t xml:space="preserve">Raw and transcoded video would almost certainly be stored in a distributed object store (Amazon S3, Google Cloud Storage, or an HDFS-backed equivalent) rather than a database, since object stores are purpose-built for storing large immutable binary blobs at low cost with high durability. A transcoding pipeline (plausibly built on </w:t>
      </w:r>
      <w:proofErr w:type="spellStart"/>
      <w:r>
        <w:t>FFmpeg</w:t>
      </w:r>
      <w:proofErr w:type="spellEnd"/>
      <w:r>
        <w:t xml:space="preserve"> workers orchestrated by a job queue or a managed service) would generate multiple resolution and bitrate variants for adaptive streaming, and a content-delivery network (CDN) would cache and serve these variants close to end users. </w:t>
      </w:r>
      <w:r>
        <w:lastRenderedPageBreak/>
        <w:t>This is inferred rather than stated, but is essentially the only economically viable pattern at the scale a video-hosting social platform implies.</w:t>
      </w:r>
    </w:p>
    <w:p w14:paraId="64CC14F9" w14:textId="77777777" w:rsidR="00301F0B" w:rsidRDefault="00000000">
      <w:pPr>
        <w:pStyle w:val="Heading2"/>
        <w:spacing w:before="160" w:after="100"/>
      </w:pPr>
      <w:r>
        <w:rPr>
          <w:b/>
          <w:bCs/>
          <w:color w:val="2E5395"/>
          <w:sz w:val="28"/>
          <w:szCs w:val="28"/>
        </w:rPr>
        <w:t>5.4 Databases for Structured and Semi-Structured Data</w:t>
      </w:r>
    </w:p>
    <w:p w14:paraId="044D798A" w14:textId="77777777" w:rsidR="00301F0B" w:rsidRDefault="00000000">
      <w:pPr>
        <w:spacing w:after="120" w:line="264" w:lineRule="auto"/>
        <w:jc w:val="both"/>
      </w:pPr>
      <w:r>
        <w:t>Comments and post metadata, being semi-structured and requiring flexible schema evolution (new fields such as reaction types are added over time) alongside high write throughput, would likely be stored in a document-oriented or wide-column NoSQL database such as MongoDB or Cassandra, partitioned by post identifier. Hashtags, because they function as a many-to-many index connecting posts to topics, are naturally suited either to a secondary index within the same NoSQL store or to a dedicated search/index engine such as Elasticsearch, which additionally supports the trending-hashtag and full-text search features a social platform typically offers. Engagement metrics, given their extreme write frequency and simple counter-like structure, are a strong candidate for a wide-column or in-memory store optimised for high-throughput increments (Cassandra counters or a Redis-based counting layer), often only periodically flushed to durable storage rather than persisted synchronously on every single like.</w:t>
      </w:r>
    </w:p>
    <w:p w14:paraId="2B3C57E2" w14:textId="77777777" w:rsidR="00301F0B" w:rsidRDefault="00000000">
      <w:pPr>
        <w:pStyle w:val="Heading2"/>
        <w:spacing w:before="160" w:after="100"/>
      </w:pPr>
      <w:r>
        <w:rPr>
          <w:b/>
          <w:bCs/>
          <w:color w:val="2E5395"/>
          <w:sz w:val="28"/>
          <w:szCs w:val="28"/>
        </w:rPr>
        <w:t>5.5 Metadata Management and the Unifying Layer</w:t>
      </w:r>
    </w:p>
    <w:p w14:paraId="45044E25" w14:textId="77777777" w:rsidR="00301F0B" w:rsidRDefault="00000000">
      <w:pPr>
        <w:spacing w:after="120" w:line="264" w:lineRule="auto"/>
        <w:jc w:val="both"/>
      </w:pPr>
      <w:r>
        <w:t xml:space="preserve">Because video, comment, hashtag, and engagement data are physically stored in different systems, a metadata or </w:t>
      </w:r>
      <w:proofErr w:type="spellStart"/>
      <w:r>
        <w:t>catalog</w:t>
      </w:r>
      <w:proofErr w:type="spellEnd"/>
      <w:r>
        <w:t xml:space="preserve"> layer is a necessary inferred component: each video object in the object store would be referenced by a post-metadata record in the document database (via a URL or object key), and a post record would in turn be referenced by comment records and engagement counters via a shared post identifier. This identifier-based linkage across polyglot stores — rather than a single joined schema — is the standard approach to "managing structured and unstructured data together" at scale, since it lets each data form be stored in the technology best suited to it while still being reassembled coherently at read time by the application layer.</w:t>
      </w:r>
    </w:p>
    <w:p w14:paraId="5136C180" w14:textId="77777777" w:rsidR="00301F0B" w:rsidRDefault="00000000">
      <w:pPr>
        <w:pStyle w:val="Heading2"/>
        <w:spacing w:before="160" w:after="100"/>
      </w:pPr>
      <w:r>
        <w:rPr>
          <w:b/>
          <w:bCs/>
          <w:color w:val="2E5395"/>
          <w:sz w:val="28"/>
          <w:szCs w:val="28"/>
        </w:rPr>
        <w:t>5.6 Stream and Batch Processing</w:t>
      </w:r>
    </w:p>
    <w:p w14:paraId="3CAA2018" w14:textId="77777777" w:rsidR="00301F0B" w:rsidRDefault="00000000">
      <w:pPr>
        <w:spacing w:after="120" w:line="264" w:lineRule="auto"/>
        <w:jc w:val="both"/>
      </w:pPr>
      <w:r>
        <w:t>Real-time features — live comment counts, trending hashtags, live view counters — would be maintained by a stream-processing layer (Spark Structured Streaming or Flink) consuming the Kafka event backbone and updating the fast counter stores incrementally. Batch processing (Spark over a data lake archive of all events) would separately compute heavier analytics such as engagement-based content ranking, recommendation signals, and long-term trend analysis, since these computations are too resource-intensive to run continuously on every event and can tolerate hours of staleness.</w:t>
      </w:r>
    </w:p>
    <w:p w14:paraId="659E1554" w14:textId="77777777" w:rsidR="00301F0B" w:rsidRDefault="00000000">
      <w:pPr>
        <w:pStyle w:val="Heading2"/>
        <w:spacing w:before="160" w:after="100"/>
      </w:pPr>
      <w:r>
        <w:rPr>
          <w:b/>
          <w:bCs/>
          <w:color w:val="2E5395"/>
          <w:sz w:val="28"/>
          <w:szCs w:val="28"/>
        </w:rPr>
        <w:t>5.7 Search, Retrieval, Scalability, and Security</w:t>
      </w:r>
    </w:p>
    <w:p w14:paraId="7CA524D5" w14:textId="77777777" w:rsidR="00301F0B" w:rsidRDefault="00000000">
      <w:pPr>
        <w:spacing w:after="120" w:line="264" w:lineRule="auto"/>
        <w:jc w:val="both"/>
      </w:pPr>
      <w:r>
        <w:t xml:space="preserve">Elasticsearch or a comparable search engine would plausibly index post text, comments, and hashtags to support the platform's search and discovery features, since relational or document databases are not optimised for full-text relevance ranking at scale. Scalability across the entire architecture is achieved through horizontal sharding: object storage scales natively, NoSQL stores shard by post or user identifier, and the CDN scales by adding edge locations. Security would require signed, time-limited URLs for video access (preventing unauthorized hotlinking), content moderation pipelines (potentially involving automated classifiers scanning uploaded video and </w:t>
      </w:r>
      <w:r>
        <w:lastRenderedPageBreak/>
        <w:t>text for policy violations), encryption at rest for the object store, and access controls distinguishing public content from private or restricted posts.</w:t>
      </w:r>
    </w:p>
    <w:p w14:paraId="6683001B" w14:textId="77777777" w:rsidR="00301F0B" w:rsidRDefault="00000000">
      <w:pPr>
        <w:pStyle w:val="Heading2"/>
        <w:spacing w:before="160" w:after="100"/>
      </w:pPr>
      <w:r>
        <w:rPr>
          <w:b/>
          <w:bCs/>
          <w:color w:val="2E5395"/>
          <w:sz w:val="28"/>
          <w:szCs w:val="28"/>
        </w:rPr>
        <w:t>5.8 Inferred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1F0B" w14:paraId="703A6E54" w14:textId="77777777">
        <w:tblPrEx>
          <w:tblCellMar>
            <w:top w:w="0" w:type="dxa"/>
            <w:bottom w:w="0" w:type="dxa"/>
          </w:tblCellMar>
        </w:tblPrEx>
        <w:trPr>
          <w:tblHeader/>
        </w:trPr>
        <w:tc>
          <w:tcPr>
            <w:tcW w:w="3120" w:type="dxa"/>
            <w:shd w:val="clear" w:color="auto" w:fill="1F3864"/>
          </w:tcPr>
          <w:p w14:paraId="4AA7E80C" w14:textId="77777777" w:rsidR="00301F0B" w:rsidRDefault="00000000">
            <w:r>
              <w:rPr>
                <w:b/>
                <w:bCs/>
                <w:color w:val="FFFFFF"/>
                <w:sz w:val="22"/>
                <w:szCs w:val="22"/>
              </w:rPr>
              <w:t>Data Type</w:t>
            </w:r>
          </w:p>
        </w:tc>
        <w:tc>
          <w:tcPr>
            <w:tcW w:w="3120" w:type="dxa"/>
            <w:shd w:val="clear" w:color="auto" w:fill="1F3864"/>
          </w:tcPr>
          <w:p w14:paraId="267DDED7" w14:textId="77777777" w:rsidR="00301F0B" w:rsidRDefault="00000000">
            <w:r>
              <w:rPr>
                <w:b/>
                <w:bCs/>
                <w:color w:val="FFFFFF"/>
                <w:sz w:val="22"/>
                <w:szCs w:val="22"/>
              </w:rPr>
              <w:t>Probable Storage</w:t>
            </w:r>
          </w:p>
        </w:tc>
        <w:tc>
          <w:tcPr>
            <w:tcW w:w="3120" w:type="dxa"/>
            <w:shd w:val="clear" w:color="auto" w:fill="1F3864"/>
          </w:tcPr>
          <w:p w14:paraId="45DAA6B6" w14:textId="77777777" w:rsidR="00301F0B" w:rsidRDefault="00000000">
            <w:r>
              <w:rPr>
                <w:b/>
                <w:bCs/>
                <w:color w:val="FFFFFF"/>
                <w:sz w:val="22"/>
                <w:szCs w:val="22"/>
              </w:rPr>
              <w:t>Processing Path</w:t>
            </w:r>
          </w:p>
        </w:tc>
      </w:tr>
      <w:tr w:rsidR="00301F0B" w14:paraId="02D04575" w14:textId="77777777">
        <w:tblPrEx>
          <w:tblCellMar>
            <w:top w:w="0" w:type="dxa"/>
            <w:bottom w:w="0" w:type="dxa"/>
          </w:tblCellMar>
        </w:tblPrEx>
        <w:tc>
          <w:tcPr>
            <w:tcW w:w="3120" w:type="dxa"/>
          </w:tcPr>
          <w:p w14:paraId="0CA78108" w14:textId="77777777" w:rsidR="00301F0B" w:rsidRDefault="00000000">
            <w:r>
              <w:rPr>
                <w:sz w:val="20"/>
                <w:szCs w:val="20"/>
              </w:rPr>
              <w:t>Video (unstructured)</w:t>
            </w:r>
          </w:p>
        </w:tc>
        <w:tc>
          <w:tcPr>
            <w:tcW w:w="3120" w:type="dxa"/>
          </w:tcPr>
          <w:p w14:paraId="110DD4C5" w14:textId="77777777" w:rsidR="00301F0B" w:rsidRDefault="00000000">
            <w:r>
              <w:rPr>
                <w:sz w:val="20"/>
                <w:szCs w:val="20"/>
              </w:rPr>
              <w:t>Object store + CDN</w:t>
            </w:r>
          </w:p>
        </w:tc>
        <w:tc>
          <w:tcPr>
            <w:tcW w:w="3120" w:type="dxa"/>
          </w:tcPr>
          <w:p w14:paraId="5AA83A45" w14:textId="77777777" w:rsidR="00301F0B" w:rsidRDefault="00000000">
            <w:r>
              <w:rPr>
                <w:sz w:val="20"/>
                <w:szCs w:val="20"/>
              </w:rPr>
              <w:t>Async transcoding pipeline</w:t>
            </w:r>
          </w:p>
        </w:tc>
      </w:tr>
      <w:tr w:rsidR="00301F0B" w14:paraId="2D14FCF0" w14:textId="77777777">
        <w:tblPrEx>
          <w:tblCellMar>
            <w:top w:w="0" w:type="dxa"/>
            <w:bottom w:w="0" w:type="dxa"/>
          </w:tblCellMar>
        </w:tblPrEx>
        <w:tc>
          <w:tcPr>
            <w:tcW w:w="3120" w:type="dxa"/>
          </w:tcPr>
          <w:p w14:paraId="0B054B8F" w14:textId="77777777" w:rsidR="00301F0B" w:rsidRDefault="00000000">
            <w:r>
              <w:rPr>
                <w:sz w:val="20"/>
                <w:szCs w:val="20"/>
              </w:rPr>
              <w:t>Comments (semi-structured)</w:t>
            </w:r>
          </w:p>
        </w:tc>
        <w:tc>
          <w:tcPr>
            <w:tcW w:w="3120" w:type="dxa"/>
          </w:tcPr>
          <w:p w14:paraId="65306D50" w14:textId="77777777" w:rsidR="00301F0B" w:rsidRDefault="00000000">
            <w:r>
              <w:rPr>
                <w:sz w:val="20"/>
                <w:szCs w:val="20"/>
              </w:rPr>
              <w:t>Document/wide-column NoSQL</w:t>
            </w:r>
          </w:p>
        </w:tc>
        <w:tc>
          <w:tcPr>
            <w:tcW w:w="3120" w:type="dxa"/>
          </w:tcPr>
          <w:p w14:paraId="0DDE8806" w14:textId="77777777" w:rsidR="00301F0B" w:rsidRDefault="00000000">
            <w:r>
              <w:rPr>
                <w:sz w:val="20"/>
                <w:szCs w:val="20"/>
              </w:rPr>
              <w:t>Stream ingestion, batch analytics</w:t>
            </w:r>
          </w:p>
        </w:tc>
      </w:tr>
      <w:tr w:rsidR="00301F0B" w14:paraId="0990409C" w14:textId="77777777">
        <w:tblPrEx>
          <w:tblCellMar>
            <w:top w:w="0" w:type="dxa"/>
            <w:bottom w:w="0" w:type="dxa"/>
          </w:tblCellMar>
        </w:tblPrEx>
        <w:tc>
          <w:tcPr>
            <w:tcW w:w="3120" w:type="dxa"/>
          </w:tcPr>
          <w:p w14:paraId="193843DA" w14:textId="77777777" w:rsidR="00301F0B" w:rsidRDefault="00000000">
            <w:r>
              <w:rPr>
                <w:sz w:val="20"/>
                <w:szCs w:val="20"/>
              </w:rPr>
              <w:t>Hashtags</w:t>
            </w:r>
          </w:p>
        </w:tc>
        <w:tc>
          <w:tcPr>
            <w:tcW w:w="3120" w:type="dxa"/>
          </w:tcPr>
          <w:p w14:paraId="1E8FD2AC" w14:textId="77777777" w:rsidR="00301F0B" w:rsidRDefault="00000000">
            <w:r>
              <w:rPr>
                <w:sz w:val="20"/>
                <w:szCs w:val="20"/>
              </w:rPr>
              <w:t>Search index (Elasticsearch)</w:t>
            </w:r>
          </w:p>
        </w:tc>
        <w:tc>
          <w:tcPr>
            <w:tcW w:w="3120" w:type="dxa"/>
          </w:tcPr>
          <w:p w14:paraId="0E91C71C" w14:textId="77777777" w:rsidR="00301F0B" w:rsidRDefault="00000000">
            <w:r>
              <w:rPr>
                <w:sz w:val="20"/>
                <w:szCs w:val="20"/>
              </w:rPr>
              <w:t>Stream update, trend batch jobs</w:t>
            </w:r>
          </w:p>
        </w:tc>
      </w:tr>
      <w:tr w:rsidR="00301F0B" w14:paraId="6E37C18E" w14:textId="77777777">
        <w:tblPrEx>
          <w:tblCellMar>
            <w:top w:w="0" w:type="dxa"/>
            <w:bottom w:w="0" w:type="dxa"/>
          </w:tblCellMar>
        </w:tblPrEx>
        <w:tc>
          <w:tcPr>
            <w:tcW w:w="3120" w:type="dxa"/>
          </w:tcPr>
          <w:p w14:paraId="7E0B666D" w14:textId="77777777" w:rsidR="00301F0B" w:rsidRDefault="00000000">
            <w:r>
              <w:rPr>
                <w:sz w:val="20"/>
                <w:szCs w:val="20"/>
              </w:rPr>
              <w:t>Engagement metrics</w:t>
            </w:r>
          </w:p>
        </w:tc>
        <w:tc>
          <w:tcPr>
            <w:tcW w:w="3120" w:type="dxa"/>
          </w:tcPr>
          <w:p w14:paraId="166567ED" w14:textId="77777777" w:rsidR="00301F0B" w:rsidRDefault="00000000">
            <w:r>
              <w:rPr>
                <w:sz w:val="20"/>
                <w:szCs w:val="20"/>
              </w:rPr>
              <w:t>Counter store (Cassandra/Redis)</w:t>
            </w:r>
          </w:p>
        </w:tc>
        <w:tc>
          <w:tcPr>
            <w:tcW w:w="3120" w:type="dxa"/>
          </w:tcPr>
          <w:p w14:paraId="4B509A2E" w14:textId="77777777" w:rsidR="00301F0B" w:rsidRDefault="00000000">
            <w:r>
              <w:rPr>
                <w:sz w:val="20"/>
                <w:szCs w:val="20"/>
              </w:rPr>
              <w:t>Stream increment, periodic flush</w:t>
            </w:r>
          </w:p>
        </w:tc>
      </w:tr>
      <w:tr w:rsidR="00301F0B" w14:paraId="62DC6F55" w14:textId="77777777">
        <w:tblPrEx>
          <w:tblCellMar>
            <w:top w:w="0" w:type="dxa"/>
            <w:bottom w:w="0" w:type="dxa"/>
          </w:tblCellMar>
        </w:tblPrEx>
        <w:tc>
          <w:tcPr>
            <w:tcW w:w="3120" w:type="dxa"/>
          </w:tcPr>
          <w:p w14:paraId="6C096589" w14:textId="77777777" w:rsidR="00301F0B" w:rsidRDefault="00000000">
            <w:r>
              <w:rPr>
                <w:sz w:val="20"/>
                <w:szCs w:val="20"/>
              </w:rPr>
              <w:t>Cross-references</w:t>
            </w:r>
          </w:p>
        </w:tc>
        <w:tc>
          <w:tcPr>
            <w:tcW w:w="3120" w:type="dxa"/>
          </w:tcPr>
          <w:p w14:paraId="3F8929D6" w14:textId="77777777" w:rsidR="00301F0B" w:rsidRDefault="00000000">
            <w:r>
              <w:rPr>
                <w:sz w:val="20"/>
                <w:szCs w:val="20"/>
              </w:rPr>
              <w:t>Shared post-ID metadata layer</w:t>
            </w:r>
          </w:p>
        </w:tc>
        <w:tc>
          <w:tcPr>
            <w:tcW w:w="3120" w:type="dxa"/>
          </w:tcPr>
          <w:p w14:paraId="0C16D455" w14:textId="77777777" w:rsidR="00301F0B" w:rsidRDefault="00000000">
            <w:r>
              <w:rPr>
                <w:sz w:val="20"/>
                <w:szCs w:val="20"/>
              </w:rPr>
              <w:t>Application-level assembly at read</w:t>
            </w:r>
          </w:p>
        </w:tc>
      </w:tr>
    </w:tbl>
    <w:p w14:paraId="3DA80165" w14:textId="77777777" w:rsidR="00301F0B" w:rsidRDefault="00000000">
      <w:pPr>
        <w:spacing w:after="120" w:line="264" w:lineRule="auto"/>
        <w:jc w:val="both"/>
      </w:pPr>
      <w:r>
        <w:t>Conclusion: The platform's need to jointly manage four structurally different data forms is best explained by a polyglot-persistence architecture in which each data type resides in the storage technology best matched to its structure and access pattern, unified not by a single schema but by shared identifiers and an event-streaming backbone that keeps all stores consistent in near-real time.</w:t>
      </w:r>
    </w:p>
    <w:p w14:paraId="714A60A5" w14:textId="77777777" w:rsidR="00301F0B" w:rsidRDefault="00000000">
      <w:pPr>
        <w:pStyle w:val="Heading1"/>
        <w:spacing w:before="200" w:after="120"/>
      </w:pPr>
      <w:r>
        <w:rPr>
          <w:b/>
          <w:bCs/>
          <w:color w:val="1F3864"/>
        </w:rPr>
        <w:t>6. Task 5 — Manufacturing IoT Platform</w:t>
      </w:r>
    </w:p>
    <w:p w14:paraId="4D6A9BCB" w14:textId="77777777" w:rsidR="00301F0B" w:rsidRDefault="00000000">
      <w:pPr>
        <w:spacing w:after="120" w:line="264" w:lineRule="auto"/>
        <w:jc w:val="both"/>
      </w:pPr>
      <w:r>
        <w:t>Scenario (as stated): A manufacturing IoT platform collects machine logs and maintenance events from many plants. The task requires inferring the likely integration tools, storage strategy, and analytics path.</w:t>
      </w:r>
    </w:p>
    <w:p w14:paraId="0DE78C59" w14:textId="77777777" w:rsidR="00301F0B" w:rsidRDefault="00000000">
      <w:pPr>
        <w:pStyle w:val="Heading2"/>
        <w:spacing w:before="160" w:after="100"/>
      </w:pPr>
      <w:r>
        <w:rPr>
          <w:b/>
          <w:bCs/>
          <w:color w:val="2E5395"/>
          <w:sz w:val="28"/>
          <w:szCs w:val="28"/>
        </w:rPr>
        <w:t>6.1 Data Characteristics</w:t>
      </w:r>
    </w:p>
    <w:p w14:paraId="06FFDE65" w14:textId="77777777" w:rsidR="00301F0B" w:rsidRDefault="00000000">
      <w:pPr>
        <w:spacing w:after="120" w:line="264" w:lineRule="auto"/>
        <w:jc w:val="both"/>
      </w:pPr>
      <w:r>
        <w:t xml:space="preserve">Machine logs generated by industrial equipment (PLCs, sensors, controllers) are typically structured, high-frequency time-series data — vibration, temperature, pressure, throughput readings, each timestamped and tagged with a machine and sensor identifier. Maintenance events are lower-frequency, semi-structured records describing scheduled or unscheduled interventions, technician notes, and part replacements. The explicit mention of "many plants" introduces a </w:t>
      </w:r>
      <w:proofErr w:type="gramStart"/>
      <w:r>
        <w:t>Variety</w:t>
      </w:r>
      <w:proofErr w:type="gramEnd"/>
      <w:r>
        <w:t xml:space="preserve"> and integration challenge beyond pure Volume: different plants, potentially built at different times or by different vendors, are likely to run heterogeneous industrial equipment using differing communication protocols (Modbus, OPC-UA, MQTT), which is a classic industrial-IoT integration problem that the architecture must resolve before any centralized analytics is possible.</w:t>
      </w:r>
    </w:p>
    <w:p w14:paraId="210374AD" w14:textId="77777777" w:rsidR="00301F0B" w:rsidRDefault="00000000">
      <w:pPr>
        <w:pStyle w:val="Heading2"/>
        <w:spacing w:before="160" w:after="100"/>
      </w:pPr>
      <w:r>
        <w:rPr>
          <w:b/>
          <w:bCs/>
          <w:color w:val="2E5395"/>
          <w:sz w:val="28"/>
          <w:szCs w:val="28"/>
        </w:rPr>
        <w:t>6.2 Edge and Gateway Layer</w:t>
      </w:r>
    </w:p>
    <w:p w14:paraId="1C9FDC3A" w14:textId="77777777" w:rsidR="00301F0B" w:rsidRDefault="00000000">
      <w:pPr>
        <w:spacing w:after="120" w:line="264" w:lineRule="auto"/>
        <w:jc w:val="both"/>
      </w:pPr>
      <w:r>
        <w:t>Given the protocol heterogeneity implied by multiple plants, a probable implementation would deploy an edge gateway at each plant that translates diverse local industrial protocols into a single normalized format before transmission to the cloud or central data centre. This edge layer would also plausibly perform basic local filtering, buffering, and aggregation (for example, down-sampling a high-frequency vibration signal to summary statistics) so that only meaningful data — rather than every raw sensor tick — is transmitted over often-limited plant-to-cloud network links. Local buffering at the edge is a necessary design decision for resilience: if the network connection to the central platform is temporarily lost, a plant would otherwise lose all telemetry generated during the outage, which is unacceptable for a system that must eventually support maintenance and safety decisions.</w:t>
      </w:r>
    </w:p>
    <w:p w14:paraId="3BD06C92" w14:textId="77777777" w:rsidR="00301F0B" w:rsidRDefault="00000000">
      <w:pPr>
        <w:pStyle w:val="Heading2"/>
        <w:spacing w:before="160" w:after="100"/>
      </w:pPr>
      <w:r>
        <w:rPr>
          <w:b/>
          <w:bCs/>
          <w:color w:val="2E5395"/>
          <w:sz w:val="28"/>
          <w:szCs w:val="28"/>
        </w:rPr>
        <w:lastRenderedPageBreak/>
        <w:t>6.3 Messaging and Integration Backbone</w:t>
      </w:r>
    </w:p>
    <w:p w14:paraId="45E1EC2A" w14:textId="77777777" w:rsidR="00301F0B" w:rsidRDefault="00000000">
      <w:pPr>
        <w:spacing w:after="120" w:line="264" w:lineRule="auto"/>
        <w:jc w:val="both"/>
      </w:pPr>
      <w:r>
        <w:t>MQTT is a strong candidate for the device-to-gateway hop specifically because it is a lightweight publish-subscribe protocol purpose-built for constrained industrial and IoT devices with intermittent connectivity, and it is the dominant standard in industrial-IoT deployments for exactly this reason. From the gateway onward, a probable implementation would bridge MQTT topics into a distributed messaging backbone such as Apache Kafka for the plant-to-cloud and cross-plant integration layer, since Kafka's durability, partitioning, and ability to serve multiple independent downstream consumers (analytics, alerting, dashboards) make it well suited to fanning a single integrated data stream out to many consuming systems. Topics would plausibly be partitioned by plant and machine identifier, mirroring the pattern used in the ride-sharing and fraud scenarios, to enable parallel, load-balanced processing per production line.</w:t>
      </w:r>
    </w:p>
    <w:p w14:paraId="072DD9E8" w14:textId="77777777" w:rsidR="00301F0B" w:rsidRDefault="00000000">
      <w:pPr>
        <w:pStyle w:val="Heading2"/>
        <w:spacing w:before="160" w:after="100"/>
      </w:pPr>
      <w:r>
        <w:rPr>
          <w:b/>
          <w:bCs/>
          <w:color w:val="2E5395"/>
          <w:sz w:val="28"/>
          <w:szCs w:val="28"/>
        </w:rPr>
        <w:t>6.4 Storage Strategy</w:t>
      </w:r>
    </w:p>
    <w:p w14:paraId="050D5A2C" w14:textId="77777777" w:rsidR="00301F0B" w:rsidRDefault="00000000">
      <w:pPr>
        <w:spacing w:after="120" w:line="264" w:lineRule="auto"/>
        <w:jc w:val="both"/>
      </w:pPr>
      <w:r>
        <w:t>Time-series sensor data is best served by a storage system optimised for time-indexed writes and range queries — either a dedicated time-series database (</w:t>
      </w:r>
      <w:proofErr w:type="spellStart"/>
      <w:r>
        <w:t>InfluxDB</w:t>
      </w:r>
      <w:proofErr w:type="spellEnd"/>
      <w:r>
        <w:t xml:space="preserve">, </w:t>
      </w:r>
      <w:proofErr w:type="spellStart"/>
      <w:r>
        <w:t>TimescaleDB</w:t>
      </w:r>
      <w:proofErr w:type="spellEnd"/>
      <w:r>
        <w:t>) for recent, high-resolution data used in live monitoring dashboards, or a data lake (S3/HDFS, partitioned by plant, machine, and date) for the full historical archive used in longer-term analytics and model training. Maintenance event records, being lower-volume and more relationally structured (linking a machine, a technician, a part, and a timestamp), are a reasonable fit for a conventional relational or document database. This tiered approach — hot time-series store for operational monitoring, cold data lake for historical analytics, structured store for maintenance records — mirrors the storage patterns justified in the ride-sharing and recommendation scenarios and reflects the same underlying principle: match each data access pattern to the storage technology built for it.</w:t>
      </w:r>
    </w:p>
    <w:p w14:paraId="6C4908FF" w14:textId="77777777" w:rsidR="00301F0B" w:rsidRDefault="00000000">
      <w:pPr>
        <w:pStyle w:val="Heading2"/>
        <w:spacing w:before="160" w:after="100"/>
      </w:pPr>
      <w:r>
        <w:rPr>
          <w:b/>
          <w:bCs/>
          <w:color w:val="2E5395"/>
          <w:sz w:val="28"/>
          <w:szCs w:val="28"/>
        </w:rPr>
        <w:t>6.5 Stream and Batch Analytics, and Predictive Maintenance</w:t>
      </w:r>
    </w:p>
    <w:p w14:paraId="48EB159F" w14:textId="77777777" w:rsidR="00301F0B" w:rsidRDefault="00000000">
      <w:pPr>
        <w:spacing w:after="120" w:line="264" w:lineRule="auto"/>
        <w:jc w:val="both"/>
      </w:pPr>
      <w:r>
        <w:t>A stream-processing layer (Flink or Spark Structured Streaming) would plausibly monitor incoming sensor data in real time against threshold rules to raise immediate operational alerts (for example, an over-temperature condition), while a batch pipeline (Spark) trains predictive-maintenance models over the historical archive, correlating sensor patterns preceding past maintenance events with current live readings to estimate remaining useful life or failure probability for each machine. This predictive-maintenance capability, while not explicitly stated in the scenario, is a strongly justified inference: the explicit presence of both machine logs and maintenance-event records together is the precise data combination required to train such a model, and it is the standard commercial motivation for building a unified industrial-IoT data platform in the first place, since it allows plants to move from reactive or scheduled maintenance to condition-based maintenance.</w:t>
      </w:r>
    </w:p>
    <w:p w14:paraId="7DA95FAE" w14:textId="77777777" w:rsidR="00301F0B" w:rsidRDefault="00000000">
      <w:pPr>
        <w:pStyle w:val="Heading2"/>
        <w:spacing w:before="160" w:after="100"/>
      </w:pPr>
      <w:r>
        <w:rPr>
          <w:b/>
          <w:bCs/>
          <w:color w:val="2E5395"/>
          <w:sz w:val="28"/>
          <w:szCs w:val="28"/>
        </w:rPr>
        <w:t>6.6 Cross-Plant Data Integration</w:t>
      </w:r>
    </w:p>
    <w:p w14:paraId="65C89E21" w14:textId="77777777" w:rsidR="00301F0B" w:rsidRDefault="00000000">
      <w:pPr>
        <w:spacing w:after="120" w:line="264" w:lineRule="auto"/>
        <w:jc w:val="both"/>
      </w:pPr>
      <w:r>
        <w:t xml:space="preserve">Beyond raw ingestion, integrating data across many plants for centralized analytics implies a canonical data model or ontology that maps each plant's locally-specific machine and sensor identifiers onto a shared naming scheme, so that, for example, comparative analytics ("failure rate of this machine type across all plants") can be computed without manual reconciliation. Building </w:t>
      </w:r>
      <w:r>
        <w:lastRenderedPageBreak/>
        <w:t>and maintaining this canonical mapping is itself a nontrivial inferred integration task and would plausibly be supported by a metadata/master-data-management layer sitting alongside the core data pipeline.</w:t>
      </w:r>
    </w:p>
    <w:p w14:paraId="5C674502" w14:textId="77777777" w:rsidR="00301F0B" w:rsidRDefault="00000000">
      <w:pPr>
        <w:pStyle w:val="Heading2"/>
        <w:spacing w:before="160" w:after="100"/>
      </w:pPr>
      <w:r>
        <w:rPr>
          <w:b/>
          <w:bCs/>
          <w:color w:val="2E5395"/>
          <w:sz w:val="28"/>
          <w:szCs w:val="28"/>
        </w:rPr>
        <w:t>6.7 Security and Fault Tolerance</w:t>
      </w:r>
    </w:p>
    <w:p w14:paraId="00CF4296" w14:textId="77777777" w:rsidR="00301F0B" w:rsidRDefault="00000000">
      <w:pPr>
        <w:spacing w:after="120" w:line="264" w:lineRule="auto"/>
        <w:jc w:val="both"/>
      </w:pPr>
      <w:r>
        <w:t>Industrial control systems are sensitive both because of the operational risk of tampering and because of the intellectual-property value of production data, so the architecture would necessarily include mutual TLS or certificate-based authentication between plant gateways and the central platform, network segmentation isolating operational-technology (OT) networks from the wider corporate IT network, and encryption of data at rest in both the time-series store and the data lake. Fault tolerance is addressed through edge buffering (as noted above), replicated Kafka partitions, and idempotent processing in the stream layer, ensuring that transient plant connectivity loss or a processing-node failure does not result in permanent data loss for safety- or compliance-relevant telemetry.</w:t>
      </w:r>
    </w:p>
    <w:p w14:paraId="2A3A1457" w14:textId="77777777" w:rsidR="00301F0B" w:rsidRDefault="00000000">
      <w:pPr>
        <w:pStyle w:val="Heading2"/>
        <w:spacing w:before="160" w:after="100"/>
      </w:pPr>
      <w:r>
        <w:rPr>
          <w:b/>
          <w:bCs/>
          <w:color w:val="2E5395"/>
          <w:sz w:val="28"/>
          <w:szCs w:val="28"/>
        </w:rPr>
        <w:t>6.8 Inferred End-to-End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1F0B" w14:paraId="117FCBAC" w14:textId="77777777">
        <w:tblPrEx>
          <w:tblCellMar>
            <w:top w:w="0" w:type="dxa"/>
            <w:bottom w:w="0" w:type="dxa"/>
          </w:tblCellMar>
        </w:tblPrEx>
        <w:trPr>
          <w:tblHeader/>
        </w:trPr>
        <w:tc>
          <w:tcPr>
            <w:tcW w:w="3120" w:type="dxa"/>
            <w:shd w:val="clear" w:color="auto" w:fill="1F3864"/>
          </w:tcPr>
          <w:p w14:paraId="112B08A7" w14:textId="77777777" w:rsidR="00301F0B" w:rsidRDefault="00000000">
            <w:r>
              <w:rPr>
                <w:b/>
                <w:bCs/>
                <w:color w:val="FFFFFF"/>
                <w:sz w:val="22"/>
                <w:szCs w:val="22"/>
              </w:rPr>
              <w:t>Layer</w:t>
            </w:r>
          </w:p>
        </w:tc>
        <w:tc>
          <w:tcPr>
            <w:tcW w:w="3120" w:type="dxa"/>
            <w:shd w:val="clear" w:color="auto" w:fill="1F3864"/>
          </w:tcPr>
          <w:p w14:paraId="3AF7B2BE" w14:textId="77777777" w:rsidR="00301F0B" w:rsidRDefault="00000000">
            <w:r>
              <w:rPr>
                <w:b/>
                <w:bCs/>
                <w:color w:val="FFFFFF"/>
                <w:sz w:val="22"/>
                <w:szCs w:val="22"/>
              </w:rPr>
              <w:t>Probable Component</w:t>
            </w:r>
          </w:p>
        </w:tc>
        <w:tc>
          <w:tcPr>
            <w:tcW w:w="3120" w:type="dxa"/>
            <w:shd w:val="clear" w:color="auto" w:fill="1F3864"/>
          </w:tcPr>
          <w:p w14:paraId="4B90EA78" w14:textId="77777777" w:rsidR="00301F0B" w:rsidRDefault="00000000">
            <w:r>
              <w:rPr>
                <w:b/>
                <w:bCs/>
                <w:color w:val="FFFFFF"/>
                <w:sz w:val="22"/>
                <w:szCs w:val="22"/>
              </w:rPr>
              <w:t>Justification</w:t>
            </w:r>
          </w:p>
        </w:tc>
      </w:tr>
      <w:tr w:rsidR="00301F0B" w14:paraId="561CC463" w14:textId="77777777">
        <w:tblPrEx>
          <w:tblCellMar>
            <w:top w:w="0" w:type="dxa"/>
            <w:bottom w:w="0" w:type="dxa"/>
          </w:tblCellMar>
        </w:tblPrEx>
        <w:tc>
          <w:tcPr>
            <w:tcW w:w="3120" w:type="dxa"/>
          </w:tcPr>
          <w:p w14:paraId="6EB5434C" w14:textId="77777777" w:rsidR="00301F0B" w:rsidRDefault="00000000">
            <w:r>
              <w:rPr>
                <w:sz w:val="20"/>
                <w:szCs w:val="20"/>
              </w:rPr>
              <w:t>Device/Edge</w:t>
            </w:r>
          </w:p>
        </w:tc>
        <w:tc>
          <w:tcPr>
            <w:tcW w:w="3120" w:type="dxa"/>
          </w:tcPr>
          <w:p w14:paraId="3AE3B531" w14:textId="77777777" w:rsidR="00301F0B" w:rsidRDefault="00000000">
            <w:r>
              <w:rPr>
                <w:sz w:val="20"/>
                <w:szCs w:val="20"/>
              </w:rPr>
              <w:t>PLC sensors, edge gateway</w:t>
            </w:r>
          </w:p>
        </w:tc>
        <w:tc>
          <w:tcPr>
            <w:tcW w:w="3120" w:type="dxa"/>
          </w:tcPr>
          <w:p w14:paraId="4CAAF8EF" w14:textId="77777777" w:rsidR="00301F0B" w:rsidRDefault="00000000">
            <w:r>
              <w:rPr>
                <w:sz w:val="20"/>
                <w:szCs w:val="20"/>
              </w:rPr>
              <w:t>Protocol translation across many plants</w:t>
            </w:r>
          </w:p>
        </w:tc>
      </w:tr>
      <w:tr w:rsidR="00301F0B" w14:paraId="32D4FAFA" w14:textId="77777777">
        <w:tblPrEx>
          <w:tblCellMar>
            <w:top w:w="0" w:type="dxa"/>
            <w:bottom w:w="0" w:type="dxa"/>
          </w:tblCellMar>
        </w:tblPrEx>
        <w:tc>
          <w:tcPr>
            <w:tcW w:w="3120" w:type="dxa"/>
          </w:tcPr>
          <w:p w14:paraId="28A6E275" w14:textId="77777777" w:rsidR="00301F0B" w:rsidRDefault="00000000">
            <w:r>
              <w:rPr>
                <w:sz w:val="20"/>
                <w:szCs w:val="20"/>
              </w:rPr>
              <w:t>Device Protocol</w:t>
            </w:r>
          </w:p>
        </w:tc>
        <w:tc>
          <w:tcPr>
            <w:tcW w:w="3120" w:type="dxa"/>
          </w:tcPr>
          <w:p w14:paraId="254A69D6" w14:textId="77777777" w:rsidR="00301F0B" w:rsidRDefault="00000000">
            <w:r>
              <w:rPr>
                <w:sz w:val="20"/>
                <w:szCs w:val="20"/>
              </w:rPr>
              <w:t>MQTT</w:t>
            </w:r>
          </w:p>
        </w:tc>
        <w:tc>
          <w:tcPr>
            <w:tcW w:w="3120" w:type="dxa"/>
          </w:tcPr>
          <w:p w14:paraId="32CB0D96" w14:textId="77777777" w:rsidR="00301F0B" w:rsidRDefault="00000000">
            <w:r>
              <w:rPr>
                <w:sz w:val="20"/>
                <w:szCs w:val="20"/>
              </w:rPr>
              <w:t>Lightweight, standard for constrained IoT</w:t>
            </w:r>
          </w:p>
        </w:tc>
      </w:tr>
      <w:tr w:rsidR="00301F0B" w14:paraId="4DD346B0" w14:textId="77777777">
        <w:tblPrEx>
          <w:tblCellMar>
            <w:top w:w="0" w:type="dxa"/>
            <w:bottom w:w="0" w:type="dxa"/>
          </w:tblCellMar>
        </w:tblPrEx>
        <w:tc>
          <w:tcPr>
            <w:tcW w:w="3120" w:type="dxa"/>
          </w:tcPr>
          <w:p w14:paraId="2FAD073D" w14:textId="77777777" w:rsidR="00301F0B" w:rsidRDefault="00000000">
            <w:r>
              <w:rPr>
                <w:sz w:val="20"/>
                <w:szCs w:val="20"/>
              </w:rPr>
              <w:t>Integration Backbone</w:t>
            </w:r>
          </w:p>
        </w:tc>
        <w:tc>
          <w:tcPr>
            <w:tcW w:w="3120" w:type="dxa"/>
          </w:tcPr>
          <w:p w14:paraId="1BFB6E67" w14:textId="77777777" w:rsidR="00301F0B" w:rsidRDefault="00000000">
            <w:r>
              <w:rPr>
                <w:sz w:val="20"/>
                <w:szCs w:val="20"/>
              </w:rPr>
              <w:t>Kafka, partitioned by plant/machine</w:t>
            </w:r>
          </w:p>
        </w:tc>
        <w:tc>
          <w:tcPr>
            <w:tcW w:w="3120" w:type="dxa"/>
          </w:tcPr>
          <w:p w14:paraId="17C72496" w14:textId="77777777" w:rsidR="00301F0B" w:rsidRDefault="00000000">
            <w:r>
              <w:rPr>
                <w:sz w:val="20"/>
                <w:szCs w:val="20"/>
              </w:rPr>
              <w:t>Durable multi-consumer fan-out</w:t>
            </w:r>
          </w:p>
        </w:tc>
      </w:tr>
      <w:tr w:rsidR="00301F0B" w14:paraId="45ECF26A" w14:textId="77777777">
        <w:tblPrEx>
          <w:tblCellMar>
            <w:top w:w="0" w:type="dxa"/>
            <w:bottom w:w="0" w:type="dxa"/>
          </w:tblCellMar>
        </w:tblPrEx>
        <w:tc>
          <w:tcPr>
            <w:tcW w:w="3120" w:type="dxa"/>
          </w:tcPr>
          <w:p w14:paraId="3D4BB09E" w14:textId="77777777" w:rsidR="00301F0B" w:rsidRDefault="00000000">
            <w:r>
              <w:rPr>
                <w:sz w:val="20"/>
                <w:szCs w:val="20"/>
              </w:rPr>
              <w:t>Hot Storage</w:t>
            </w:r>
          </w:p>
        </w:tc>
        <w:tc>
          <w:tcPr>
            <w:tcW w:w="3120" w:type="dxa"/>
          </w:tcPr>
          <w:p w14:paraId="1BC37FB5" w14:textId="77777777" w:rsidR="00301F0B" w:rsidRDefault="00000000">
            <w:r>
              <w:rPr>
                <w:sz w:val="20"/>
                <w:szCs w:val="20"/>
              </w:rPr>
              <w:t>Time-series DB (</w:t>
            </w:r>
            <w:proofErr w:type="spellStart"/>
            <w:r>
              <w:rPr>
                <w:sz w:val="20"/>
                <w:szCs w:val="20"/>
              </w:rPr>
              <w:t>InfluxDB</w:t>
            </w:r>
            <w:proofErr w:type="spellEnd"/>
            <w:r>
              <w:rPr>
                <w:sz w:val="20"/>
                <w:szCs w:val="20"/>
              </w:rPr>
              <w:t>/Timescale)</w:t>
            </w:r>
          </w:p>
        </w:tc>
        <w:tc>
          <w:tcPr>
            <w:tcW w:w="3120" w:type="dxa"/>
          </w:tcPr>
          <w:p w14:paraId="36070238" w14:textId="77777777" w:rsidR="00301F0B" w:rsidRDefault="00000000">
            <w:r>
              <w:rPr>
                <w:sz w:val="20"/>
                <w:szCs w:val="20"/>
              </w:rPr>
              <w:t>Live monitoring dashboards</w:t>
            </w:r>
          </w:p>
        </w:tc>
      </w:tr>
      <w:tr w:rsidR="00301F0B" w14:paraId="15A50EA9" w14:textId="77777777">
        <w:tblPrEx>
          <w:tblCellMar>
            <w:top w:w="0" w:type="dxa"/>
            <w:bottom w:w="0" w:type="dxa"/>
          </w:tblCellMar>
        </w:tblPrEx>
        <w:tc>
          <w:tcPr>
            <w:tcW w:w="3120" w:type="dxa"/>
          </w:tcPr>
          <w:p w14:paraId="2E1C9EB5" w14:textId="77777777" w:rsidR="00301F0B" w:rsidRDefault="00000000">
            <w:r>
              <w:rPr>
                <w:sz w:val="20"/>
                <w:szCs w:val="20"/>
              </w:rPr>
              <w:t>Cold Storage</w:t>
            </w:r>
          </w:p>
        </w:tc>
        <w:tc>
          <w:tcPr>
            <w:tcW w:w="3120" w:type="dxa"/>
          </w:tcPr>
          <w:p w14:paraId="1B014333" w14:textId="77777777" w:rsidR="00301F0B" w:rsidRDefault="00000000">
            <w:r>
              <w:rPr>
                <w:sz w:val="20"/>
                <w:szCs w:val="20"/>
              </w:rPr>
              <w:t>Data lake (S3/HDFS)</w:t>
            </w:r>
          </w:p>
        </w:tc>
        <w:tc>
          <w:tcPr>
            <w:tcW w:w="3120" w:type="dxa"/>
          </w:tcPr>
          <w:p w14:paraId="1A7BACE8" w14:textId="77777777" w:rsidR="00301F0B" w:rsidRDefault="00000000">
            <w:r>
              <w:rPr>
                <w:sz w:val="20"/>
                <w:szCs w:val="20"/>
              </w:rPr>
              <w:t>Historical training data</w:t>
            </w:r>
          </w:p>
        </w:tc>
      </w:tr>
      <w:tr w:rsidR="00301F0B" w14:paraId="7EE0638C" w14:textId="77777777">
        <w:tblPrEx>
          <w:tblCellMar>
            <w:top w:w="0" w:type="dxa"/>
            <w:bottom w:w="0" w:type="dxa"/>
          </w:tblCellMar>
        </w:tblPrEx>
        <w:tc>
          <w:tcPr>
            <w:tcW w:w="3120" w:type="dxa"/>
          </w:tcPr>
          <w:p w14:paraId="78301CB8" w14:textId="77777777" w:rsidR="00301F0B" w:rsidRDefault="00000000">
            <w:r>
              <w:rPr>
                <w:sz w:val="20"/>
                <w:szCs w:val="20"/>
              </w:rPr>
              <w:t>Maintenance Records</w:t>
            </w:r>
          </w:p>
        </w:tc>
        <w:tc>
          <w:tcPr>
            <w:tcW w:w="3120" w:type="dxa"/>
          </w:tcPr>
          <w:p w14:paraId="68CAA8F1" w14:textId="77777777" w:rsidR="00301F0B" w:rsidRDefault="00000000">
            <w:r>
              <w:rPr>
                <w:sz w:val="20"/>
                <w:szCs w:val="20"/>
              </w:rPr>
              <w:t>Relational/document DB</w:t>
            </w:r>
          </w:p>
        </w:tc>
        <w:tc>
          <w:tcPr>
            <w:tcW w:w="3120" w:type="dxa"/>
          </w:tcPr>
          <w:p w14:paraId="41C0072F" w14:textId="77777777" w:rsidR="00301F0B" w:rsidRDefault="00000000">
            <w:r>
              <w:rPr>
                <w:sz w:val="20"/>
                <w:szCs w:val="20"/>
              </w:rPr>
              <w:t>Structured event linkage</w:t>
            </w:r>
          </w:p>
        </w:tc>
      </w:tr>
      <w:tr w:rsidR="00301F0B" w14:paraId="0D727840" w14:textId="77777777">
        <w:tblPrEx>
          <w:tblCellMar>
            <w:top w:w="0" w:type="dxa"/>
            <w:bottom w:w="0" w:type="dxa"/>
          </w:tblCellMar>
        </w:tblPrEx>
        <w:tc>
          <w:tcPr>
            <w:tcW w:w="3120" w:type="dxa"/>
          </w:tcPr>
          <w:p w14:paraId="0157EB06" w14:textId="77777777" w:rsidR="00301F0B" w:rsidRDefault="00000000">
            <w:r>
              <w:rPr>
                <w:sz w:val="20"/>
                <w:szCs w:val="20"/>
              </w:rPr>
              <w:t>Stream Analytics</w:t>
            </w:r>
          </w:p>
        </w:tc>
        <w:tc>
          <w:tcPr>
            <w:tcW w:w="3120" w:type="dxa"/>
          </w:tcPr>
          <w:p w14:paraId="24DFEDB8" w14:textId="77777777" w:rsidR="00301F0B" w:rsidRDefault="00000000">
            <w:r>
              <w:rPr>
                <w:sz w:val="20"/>
                <w:szCs w:val="20"/>
              </w:rPr>
              <w:t>Flink/Spark Streaming</w:t>
            </w:r>
          </w:p>
        </w:tc>
        <w:tc>
          <w:tcPr>
            <w:tcW w:w="3120" w:type="dxa"/>
          </w:tcPr>
          <w:p w14:paraId="3DAF6996" w14:textId="77777777" w:rsidR="00301F0B" w:rsidRDefault="00000000">
            <w:r>
              <w:rPr>
                <w:sz w:val="20"/>
                <w:szCs w:val="20"/>
              </w:rPr>
              <w:t>Real-time threshold alerts</w:t>
            </w:r>
          </w:p>
        </w:tc>
      </w:tr>
      <w:tr w:rsidR="00301F0B" w14:paraId="58476536" w14:textId="77777777">
        <w:tblPrEx>
          <w:tblCellMar>
            <w:top w:w="0" w:type="dxa"/>
            <w:bottom w:w="0" w:type="dxa"/>
          </w:tblCellMar>
        </w:tblPrEx>
        <w:tc>
          <w:tcPr>
            <w:tcW w:w="3120" w:type="dxa"/>
          </w:tcPr>
          <w:p w14:paraId="7B7BD576" w14:textId="77777777" w:rsidR="00301F0B" w:rsidRDefault="00000000">
            <w:r>
              <w:rPr>
                <w:sz w:val="20"/>
                <w:szCs w:val="20"/>
              </w:rPr>
              <w:t>Batch Analytics</w:t>
            </w:r>
          </w:p>
        </w:tc>
        <w:tc>
          <w:tcPr>
            <w:tcW w:w="3120" w:type="dxa"/>
          </w:tcPr>
          <w:p w14:paraId="58B90222" w14:textId="77777777" w:rsidR="00301F0B" w:rsidRDefault="00000000">
            <w:r>
              <w:rPr>
                <w:sz w:val="20"/>
                <w:szCs w:val="20"/>
              </w:rPr>
              <w:t>Spark ML</w:t>
            </w:r>
          </w:p>
        </w:tc>
        <w:tc>
          <w:tcPr>
            <w:tcW w:w="3120" w:type="dxa"/>
          </w:tcPr>
          <w:p w14:paraId="4C93AC57" w14:textId="77777777" w:rsidR="00301F0B" w:rsidRDefault="00000000">
            <w:r>
              <w:rPr>
                <w:sz w:val="20"/>
                <w:szCs w:val="20"/>
              </w:rPr>
              <w:t>Predictive maintenance modelling</w:t>
            </w:r>
          </w:p>
        </w:tc>
      </w:tr>
      <w:tr w:rsidR="00301F0B" w14:paraId="3FA0E042" w14:textId="77777777">
        <w:tblPrEx>
          <w:tblCellMar>
            <w:top w:w="0" w:type="dxa"/>
            <w:bottom w:w="0" w:type="dxa"/>
          </w:tblCellMar>
        </w:tblPrEx>
        <w:tc>
          <w:tcPr>
            <w:tcW w:w="3120" w:type="dxa"/>
          </w:tcPr>
          <w:p w14:paraId="4602C021" w14:textId="77777777" w:rsidR="00301F0B" w:rsidRDefault="00000000">
            <w:r>
              <w:rPr>
                <w:sz w:val="20"/>
                <w:szCs w:val="20"/>
              </w:rPr>
              <w:t>Security</w:t>
            </w:r>
          </w:p>
        </w:tc>
        <w:tc>
          <w:tcPr>
            <w:tcW w:w="3120" w:type="dxa"/>
          </w:tcPr>
          <w:p w14:paraId="729180F6" w14:textId="77777777" w:rsidR="00301F0B" w:rsidRDefault="00000000">
            <w:proofErr w:type="spellStart"/>
            <w:r>
              <w:rPr>
                <w:sz w:val="20"/>
                <w:szCs w:val="20"/>
              </w:rPr>
              <w:t>mTLS</w:t>
            </w:r>
            <w:proofErr w:type="spellEnd"/>
            <w:r>
              <w:rPr>
                <w:sz w:val="20"/>
                <w:szCs w:val="20"/>
              </w:rPr>
              <w:t>, OT/IT segmentation, encryption</w:t>
            </w:r>
          </w:p>
        </w:tc>
        <w:tc>
          <w:tcPr>
            <w:tcW w:w="3120" w:type="dxa"/>
          </w:tcPr>
          <w:p w14:paraId="530D4870" w14:textId="77777777" w:rsidR="00301F0B" w:rsidRDefault="00000000">
            <w:r>
              <w:rPr>
                <w:sz w:val="20"/>
                <w:szCs w:val="20"/>
              </w:rPr>
              <w:t>Industrial control system protection</w:t>
            </w:r>
          </w:p>
        </w:tc>
      </w:tr>
    </w:tbl>
    <w:p w14:paraId="19C80937" w14:textId="77777777" w:rsidR="00301F0B" w:rsidRDefault="00000000">
      <w:pPr>
        <w:spacing w:after="120" w:line="264" w:lineRule="auto"/>
        <w:jc w:val="both"/>
      </w:pPr>
      <w:r>
        <w:t xml:space="preserve">Conclusion: The multi-plant, heterogeneous-protocol nature of this scenario makes edge-gateway normalization and a durable, partitioned integration backbone the central design decisions, with a tiered time-series/data-lake storage strategy and </w:t>
      </w:r>
      <w:proofErr w:type="gramStart"/>
      <w:r>
        <w:t>a stream-plus-batch analytics</w:t>
      </w:r>
      <w:proofErr w:type="gramEnd"/>
      <w:r>
        <w:t xml:space="preserve"> split enabling both immediate operational alerting and longer-horizon predictive maintenance.</w:t>
      </w:r>
    </w:p>
    <w:p w14:paraId="2A16302A" w14:textId="77777777" w:rsidR="00301F0B" w:rsidRDefault="00000000">
      <w:pPr>
        <w:pStyle w:val="Heading1"/>
        <w:spacing w:before="200" w:after="120"/>
      </w:pPr>
      <w:r>
        <w:rPr>
          <w:b/>
          <w:bCs/>
          <w:color w:val="1F3864"/>
        </w:rPr>
        <w:t>7. Comparative Analysis Across the Five Systems</w:t>
      </w:r>
    </w:p>
    <w:p w14:paraId="3042830A" w14:textId="77777777" w:rsidR="00301F0B" w:rsidRDefault="00000000">
      <w:pPr>
        <w:spacing w:after="120" w:line="264" w:lineRule="auto"/>
        <w:jc w:val="both"/>
      </w:pPr>
      <w:r>
        <w:t>Although the five systems examined above serve entirely different domains, comparing them side by side reveals that the same set of big-data design levers — Volume, Velocity, Variety, ingestion pattern, storage tiering, processing model, and security posture — recur throughout, adapted to each domain's specific latency and accuracy requirements. This comparison itself demonstrates a key insight of big-data architecture: the same small set of proven patterns (event streaming, polyglot persistence, Lambda-style batch/stream separation, and layered security) is reused across domains, with the specific technology choices varying according to each system's dominant 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1670"/>
        <w:gridCol w:w="1422"/>
        <w:gridCol w:w="1518"/>
        <w:gridCol w:w="1887"/>
        <w:gridCol w:w="1516"/>
      </w:tblGrid>
      <w:tr w:rsidR="00301F0B" w14:paraId="33AB8350" w14:textId="77777777">
        <w:tblPrEx>
          <w:tblCellMar>
            <w:top w:w="0" w:type="dxa"/>
            <w:bottom w:w="0" w:type="dxa"/>
          </w:tblCellMar>
        </w:tblPrEx>
        <w:trPr>
          <w:tblHeader/>
        </w:trPr>
        <w:tc>
          <w:tcPr>
            <w:tcW w:w="1560" w:type="dxa"/>
            <w:shd w:val="clear" w:color="auto" w:fill="1F3864"/>
          </w:tcPr>
          <w:p w14:paraId="02A9F0ED" w14:textId="77777777" w:rsidR="00301F0B" w:rsidRDefault="00000000">
            <w:r>
              <w:rPr>
                <w:b/>
                <w:bCs/>
                <w:color w:val="FFFFFF"/>
                <w:sz w:val="22"/>
                <w:szCs w:val="22"/>
              </w:rPr>
              <w:lastRenderedPageBreak/>
              <w:t>Dimension</w:t>
            </w:r>
          </w:p>
        </w:tc>
        <w:tc>
          <w:tcPr>
            <w:tcW w:w="1560" w:type="dxa"/>
            <w:shd w:val="clear" w:color="auto" w:fill="1F3864"/>
          </w:tcPr>
          <w:p w14:paraId="4C8C62DA" w14:textId="77777777" w:rsidR="00301F0B" w:rsidRDefault="00000000">
            <w:r>
              <w:rPr>
                <w:b/>
                <w:bCs/>
                <w:color w:val="FFFFFF"/>
                <w:sz w:val="22"/>
                <w:szCs w:val="22"/>
              </w:rPr>
              <w:t>Recommendation</w:t>
            </w:r>
          </w:p>
        </w:tc>
        <w:tc>
          <w:tcPr>
            <w:tcW w:w="1560" w:type="dxa"/>
            <w:shd w:val="clear" w:color="auto" w:fill="1F3864"/>
          </w:tcPr>
          <w:p w14:paraId="40B92C39" w14:textId="77777777" w:rsidR="00301F0B" w:rsidRDefault="00000000">
            <w:r>
              <w:rPr>
                <w:b/>
                <w:bCs/>
                <w:color w:val="FFFFFF"/>
                <w:sz w:val="22"/>
                <w:szCs w:val="22"/>
              </w:rPr>
              <w:t>Ride-Sharing</w:t>
            </w:r>
          </w:p>
        </w:tc>
        <w:tc>
          <w:tcPr>
            <w:tcW w:w="1560" w:type="dxa"/>
            <w:shd w:val="clear" w:color="auto" w:fill="1F3864"/>
          </w:tcPr>
          <w:p w14:paraId="1AE26E30" w14:textId="77777777" w:rsidR="00301F0B" w:rsidRDefault="00000000">
            <w:r>
              <w:rPr>
                <w:b/>
                <w:bCs/>
                <w:color w:val="FFFFFF"/>
                <w:sz w:val="22"/>
                <w:szCs w:val="22"/>
              </w:rPr>
              <w:t>Fraud Detection</w:t>
            </w:r>
          </w:p>
        </w:tc>
        <w:tc>
          <w:tcPr>
            <w:tcW w:w="1560" w:type="dxa"/>
            <w:shd w:val="clear" w:color="auto" w:fill="1F3864"/>
          </w:tcPr>
          <w:p w14:paraId="7BA9D4FE" w14:textId="77777777" w:rsidR="00301F0B" w:rsidRDefault="00000000">
            <w:r>
              <w:rPr>
                <w:b/>
                <w:bCs/>
                <w:color w:val="FFFFFF"/>
                <w:sz w:val="22"/>
                <w:szCs w:val="22"/>
              </w:rPr>
              <w:t>Social Media</w:t>
            </w:r>
          </w:p>
        </w:tc>
        <w:tc>
          <w:tcPr>
            <w:tcW w:w="1560" w:type="dxa"/>
            <w:shd w:val="clear" w:color="auto" w:fill="1F3864"/>
          </w:tcPr>
          <w:p w14:paraId="3D5CFEE6" w14:textId="77777777" w:rsidR="00301F0B" w:rsidRDefault="00000000">
            <w:r>
              <w:rPr>
                <w:b/>
                <w:bCs/>
                <w:color w:val="FFFFFF"/>
                <w:sz w:val="22"/>
                <w:szCs w:val="22"/>
              </w:rPr>
              <w:t>Manufacturing IoT</w:t>
            </w:r>
          </w:p>
        </w:tc>
      </w:tr>
      <w:tr w:rsidR="00301F0B" w14:paraId="441933FA" w14:textId="77777777">
        <w:tblPrEx>
          <w:tblCellMar>
            <w:top w:w="0" w:type="dxa"/>
            <w:bottom w:w="0" w:type="dxa"/>
          </w:tblCellMar>
        </w:tblPrEx>
        <w:tc>
          <w:tcPr>
            <w:tcW w:w="1560" w:type="dxa"/>
          </w:tcPr>
          <w:p w14:paraId="55D97206" w14:textId="77777777" w:rsidR="00301F0B" w:rsidRDefault="00000000">
            <w:r>
              <w:rPr>
                <w:sz w:val="20"/>
                <w:szCs w:val="20"/>
              </w:rPr>
              <w:t>Dominant V</w:t>
            </w:r>
          </w:p>
        </w:tc>
        <w:tc>
          <w:tcPr>
            <w:tcW w:w="1560" w:type="dxa"/>
          </w:tcPr>
          <w:p w14:paraId="11F8217B" w14:textId="77777777" w:rsidR="00301F0B" w:rsidRDefault="00000000">
            <w:r>
              <w:rPr>
                <w:sz w:val="20"/>
                <w:szCs w:val="20"/>
              </w:rPr>
              <w:t>Variety</w:t>
            </w:r>
          </w:p>
        </w:tc>
        <w:tc>
          <w:tcPr>
            <w:tcW w:w="1560" w:type="dxa"/>
          </w:tcPr>
          <w:p w14:paraId="7729223A" w14:textId="77777777" w:rsidR="00301F0B" w:rsidRDefault="00000000">
            <w:r>
              <w:rPr>
                <w:sz w:val="20"/>
                <w:szCs w:val="20"/>
              </w:rPr>
              <w:t>Velocity</w:t>
            </w:r>
          </w:p>
        </w:tc>
        <w:tc>
          <w:tcPr>
            <w:tcW w:w="1560" w:type="dxa"/>
          </w:tcPr>
          <w:p w14:paraId="00131445" w14:textId="77777777" w:rsidR="00301F0B" w:rsidRDefault="00000000">
            <w:r>
              <w:rPr>
                <w:sz w:val="20"/>
                <w:szCs w:val="20"/>
              </w:rPr>
              <w:t>Velocity/Veracity</w:t>
            </w:r>
          </w:p>
        </w:tc>
        <w:tc>
          <w:tcPr>
            <w:tcW w:w="1560" w:type="dxa"/>
          </w:tcPr>
          <w:p w14:paraId="76FD3EA8" w14:textId="77777777" w:rsidR="00301F0B" w:rsidRDefault="00000000">
            <w:r>
              <w:rPr>
                <w:sz w:val="20"/>
                <w:szCs w:val="20"/>
              </w:rPr>
              <w:t>Variety</w:t>
            </w:r>
          </w:p>
        </w:tc>
        <w:tc>
          <w:tcPr>
            <w:tcW w:w="1560" w:type="dxa"/>
          </w:tcPr>
          <w:p w14:paraId="6C599796" w14:textId="77777777" w:rsidR="00301F0B" w:rsidRDefault="00000000">
            <w:r>
              <w:rPr>
                <w:sz w:val="20"/>
                <w:szCs w:val="20"/>
              </w:rPr>
              <w:t>Volume/Variety</w:t>
            </w:r>
          </w:p>
        </w:tc>
      </w:tr>
      <w:tr w:rsidR="00301F0B" w14:paraId="25FCEBC4" w14:textId="77777777">
        <w:tblPrEx>
          <w:tblCellMar>
            <w:top w:w="0" w:type="dxa"/>
            <w:bottom w:w="0" w:type="dxa"/>
          </w:tblCellMar>
        </w:tblPrEx>
        <w:tc>
          <w:tcPr>
            <w:tcW w:w="1560" w:type="dxa"/>
          </w:tcPr>
          <w:p w14:paraId="15EBD99C" w14:textId="77777777" w:rsidR="00301F0B" w:rsidRDefault="00000000">
            <w:r>
              <w:rPr>
                <w:sz w:val="20"/>
                <w:szCs w:val="20"/>
              </w:rPr>
              <w:t>Velocity</w:t>
            </w:r>
          </w:p>
        </w:tc>
        <w:tc>
          <w:tcPr>
            <w:tcW w:w="1560" w:type="dxa"/>
          </w:tcPr>
          <w:p w14:paraId="1407FCB5" w14:textId="77777777" w:rsidR="00301F0B" w:rsidRDefault="00000000">
            <w:r>
              <w:rPr>
                <w:sz w:val="20"/>
                <w:szCs w:val="20"/>
              </w:rPr>
              <w:t>High (clicks)</w:t>
            </w:r>
          </w:p>
        </w:tc>
        <w:tc>
          <w:tcPr>
            <w:tcW w:w="1560" w:type="dxa"/>
          </w:tcPr>
          <w:p w14:paraId="117666BA" w14:textId="77777777" w:rsidR="00301F0B" w:rsidRDefault="00000000">
            <w:r>
              <w:rPr>
                <w:sz w:val="20"/>
                <w:szCs w:val="20"/>
              </w:rPr>
              <w:t>Very High</w:t>
            </w:r>
          </w:p>
        </w:tc>
        <w:tc>
          <w:tcPr>
            <w:tcW w:w="1560" w:type="dxa"/>
          </w:tcPr>
          <w:p w14:paraId="064F9F2D" w14:textId="77777777" w:rsidR="00301F0B" w:rsidRDefault="00000000">
            <w:r>
              <w:rPr>
                <w:sz w:val="20"/>
                <w:szCs w:val="20"/>
              </w:rPr>
              <w:t>Extreme (sub-sec)</w:t>
            </w:r>
          </w:p>
        </w:tc>
        <w:tc>
          <w:tcPr>
            <w:tcW w:w="1560" w:type="dxa"/>
          </w:tcPr>
          <w:p w14:paraId="379A3E44" w14:textId="77777777" w:rsidR="00301F0B" w:rsidRDefault="00000000">
            <w:r>
              <w:rPr>
                <w:sz w:val="20"/>
                <w:szCs w:val="20"/>
              </w:rPr>
              <w:t>High (bursty)</w:t>
            </w:r>
          </w:p>
        </w:tc>
        <w:tc>
          <w:tcPr>
            <w:tcW w:w="1560" w:type="dxa"/>
          </w:tcPr>
          <w:p w14:paraId="33538408" w14:textId="77777777" w:rsidR="00301F0B" w:rsidRDefault="00000000">
            <w:r>
              <w:rPr>
                <w:sz w:val="20"/>
                <w:szCs w:val="20"/>
              </w:rPr>
              <w:t>High (sensors)</w:t>
            </w:r>
          </w:p>
        </w:tc>
      </w:tr>
      <w:tr w:rsidR="00301F0B" w14:paraId="6EE7E2F9" w14:textId="77777777">
        <w:tblPrEx>
          <w:tblCellMar>
            <w:top w:w="0" w:type="dxa"/>
            <w:bottom w:w="0" w:type="dxa"/>
          </w:tblCellMar>
        </w:tblPrEx>
        <w:tc>
          <w:tcPr>
            <w:tcW w:w="1560" w:type="dxa"/>
          </w:tcPr>
          <w:p w14:paraId="72ED9544" w14:textId="77777777" w:rsidR="00301F0B" w:rsidRDefault="00000000">
            <w:r>
              <w:rPr>
                <w:sz w:val="20"/>
                <w:szCs w:val="20"/>
              </w:rPr>
              <w:t>Volume</w:t>
            </w:r>
          </w:p>
        </w:tc>
        <w:tc>
          <w:tcPr>
            <w:tcW w:w="1560" w:type="dxa"/>
          </w:tcPr>
          <w:p w14:paraId="1F845475" w14:textId="77777777" w:rsidR="00301F0B" w:rsidRDefault="00000000">
            <w:r>
              <w:rPr>
                <w:sz w:val="20"/>
                <w:szCs w:val="20"/>
              </w:rPr>
              <w:t>Very High</w:t>
            </w:r>
          </w:p>
        </w:tc>
        <w:tc>
          <w:tcPr>
            <w:tcW w:w="1560" w:type="dxa"/>
          </w:tcPr>
          <w:p w14:paraId="32A8BEA2" w14:textId="77777777" w:rsidR="00301F0B" w:rsidRDefault="00000000">
            <w:r>
              <w:rPr>
                <w:sz w:val="20"/>
                <w:szCs w:val="20"/>
              </w:rPr>
              <w:t>Very High</w:t>
            </w:r>
          </w:p>
        </w:tc>
        <w:tc>
          <w:tcPr>
            <w:tcW w:w="1560" w:type="dxa"/>
          </w:tcPr>
          <w:p w14:paraId="0EA61430" w14:textId="77777777" w:rsidR="00301F0B" w:rsidRDefault="00000000">
            <w:r>
              <w:rPr>
                <w:sz w:val="20"/>
                <w:szCs w:val="20"/>
              </w:rPr>
              <w:t>High</w:t>
            </w:r>
          </w:p>
        </w:tc>
        <w:tc>
          <w:tcPr>
            <w:tcW w:w="1560" w:type="dxa"/>
          </w:tcPr>
          <w:p w14:paraId="146125EB" w14:textId="77777777" w:rsidR="00301F0B" w:rsidRDefault="00000000">
            <w:r>
              <w:rPr>
                <w:sz w:val="20"/>
                <w:szCs w:val="20"/>
              </w:rPr>
              <w:t>Very High (video)</w:t>
            </w:r>
          </w:p>
        </w:tc>
        <w:tc>
          <w:tcPr>
            <w:tcW w:w="1560" w:type="dxa"/>
          </w:tcPr>
          <w:p w14:paraId="6DF86FDA" w14:textId="77777777" w:rsidR="00301F0B" w:rsidRDefault="00000000">
            <w:r>
              <w:rPr>
                <w:sz w:val="20"/>
                <w:szCs w:val="20"/>
              </w:rPr>
              <w:t>Very High</w:t>
            </w:r>
          </w:p>
        </w:tc>
      </w:tr>
      <w:tr w:rsidR="00301F0B" w14:paraId="74D1B8DE" w14:textId="77777777">
        <w:tblPrEx>
          <w:tblCellMar>
            <w:top w:w="0" w:type="dxa"/>
            <w:bottom w:w="0" w:type="dxa"/>
          </w:tblCellMar>
        </w:tblPrEx>
        <w:tc>
          <w:tcPr>
            <w:tcW w:w="1560" w:type="dxa"/>
          </w:tcPr>
          <w:p w14:paraId="50FB5022" w14:textId="77777777" w:rsidR="00301F0B" w:rsidRDefault="00000000">
            <w:r>
              <w:rPr>
                <w:sz w:val="20"/>
                <w:szCs w:val="20"/>
              </w:rPr>
              <w:t>Variety</w:t>
            </w:r>
          </w:p>
        </w:tc>
        <w:tc>
          <w:tcPr>
            <w:tcW w:w="1560" w:type="dxa"/>
          </w:tcPr>
          <w:p w14:paraId="543E14EC" w14:textId="77777777" w:rsidR="00301F0B" w:rsidRDefault="00000000">
            <w:proofErr w:type="spellStart"/>
            <w:r>
              <w:rPr>
                <w:sz w:val="20"/>
                <w:szCs w:val="20"/>
              </w:rPr>
              <w:t>Structured+events</w:t>
            </w:r>
            <w:proofErr w:type="spellEnd"/>
          </w:p>
        </w:tc>
        <w:tc>
          <w:tcPr>
            <w:tcW w:w="1560" w:type="dxa"/>
          </w:tcPr>
          <w:p w14:paraId="6CB58324" w14:textId="77777777" w:rsidR="00301F0B" w:rsidRDefault="00000000">
            <w:proofErr w:type="spellStart"/>
            <w:r>
              <w:rPr>
                <w:sz w:val="20"/>
                <w:szCs w:val="20"/>
              </w:rPr>
              <w:t>Geo+historical</w:t>
            </w:r>
            <w:proofErr w:type="spellEnd"/>
          </w:p>
        </w:tc>
        <w:tc>
          <w:tcPr>
            <w:tcW w:w="1560" w:type="dxa"/>
          </w:tcPr>
          <w:p w14:paraId="0A74DB04" w14:textId="77777777" w:rsidR="00301F0B" w:rsidRDefault="00000000">
            <w:r>
              <w:rPr>
                <w:sz w:val="20"/>
                <w:szCs w:val="20"/>
              </w:rPr>
              <w:t>Mostly structured</w:t>
            </w:r>
          </w:p>
        </w:tc>
        <w:tc>
          <w:tcPr>
            <w:tcW w:w="1560" w:type="dxa"/>
          </w:tcPr>
          <w:p w14:paraId="4002E153" w14:textId="77777777" w:rsidR="00301F0B" w:rsidRDefault="00000000">
            <w:r>
              <w:rPr>
                <w:sz w:val="20"/>
                <w:szCs w:val="20"/>
              </w:rPr>
              <w:t>4 distinct forms</w:t>
            </w:r>
          </w:p>
        </w:tc>
        <w:tc>
          <w:tcPr>
            <w:tcW w:w="1560" w:type="dxa"/>
          </w:tcPr>
          <w:p w14:paraId="498B01D2" w14:textId="77777777" w:rsidR="00301F0B" w:rsidRDefault="00000000">
            <w:proofErr w:type="spellStart"/>
            <w:r>
              <w:rPr>
                <w:sz w:val="20"/>
                <w:szCs w:val="20"/>
              </w:rPr>
              <w:t>Time-series+events</w:t>
            </w:r>
            <w:proofErr w:type="spellEnd"/>
          </w:p>
        </w:tc>
      </w:tr>
      <w:tr w:rsidR="00301F0B" w14:paraId="1DAFB295" w14:textId="77777777">
        <w:tblPrEx>
          <w:tblCellMar>
            <w:top w:w="0" w:type="dxa"/>
            <w:bottom w:w="0" w:type="dxa"/>
          </w:tblCellMar>
        </w:tblPrEx>
        <w:tc>
          <w:tcPr>
            <w:tcW w:w="1560" w:type="dxa"/>
          </w:tcPr>
          <w:p w14:paraId="2CAE05D9" w14:textId="77777777" w:rsidR="00301F0B" w:rsidRDefault="00000000">
            <w:r>
              <w:rPr>
                <w:sz w:val="20"/>
                <w:szCs w:val="20"/>
              </w:rPr>
              <w:t>Ingestion</w:t>
            </w:r>
          </w:p>
        </w:tc>
        <w:tc>
          <w:tcPr>
            <w:tcW w:w="1560" w:type="dxa"/>
          </w:tcPr>
          <w:p w14:paraId="2B233092" w14:textId="77777777" w:rsidR="00301F0B" w:rsidRDefault="00000000">
            <w:r>
              <w:rPr>
                <w:sz w:val="20"/>
                <w:szCs w:val="20"/>
              </w:rPr>
              <w:t>Kafka via SDKs/CDC</w:t>
            </w:r>
          </w:p>
        </w:tc>
        <w:tc>
          <w:tcPr>
            <w:tcW w:w="1560" w:type="dxa"/>
          </w:tcPr>
          <w:p w14:paraId="000B299C" w14:textId="77777777" w:rsidR="00301F0B" w:rsidRDefault="00000000">
            <w:r>
              <w:rPr>
                <w:sz w:val="20"/>
                <w:szCs w:val="20"/>
              </w:rPr>
              <w:t>Kafka, geo-hashed</w:t>
            </w:r>
          </w:p>
        </w:tc>
        <w:tc>
          <w:tcPr>
            <w:tcW w:w="1560" w:type="dxa"/>
          </w:tcPr>
          <w:p w14:paraId="4747ED9C" w14:textId="77777777" w:rsidR="00301F0B" w:rsidRDefault="00000000">
            <w:r>
              <w:rPr>
                <w:sz w:val="20"/>
                <w:szCs w:val="20"/>
              </w:rPr>
              <w:t>Kafka, acct-partitioned</w:t>
            </w:r>
          </w:p>
        </w:tc>
        <w:tc>
          <w:tcPr>
            <w:tcW w:w="1560" w:type="dxa"/>
          </w:tcPr>
          <w:p w14:paraId="2D734C65" w14:textId="77777777" w:rsidR="00301F0B" w:rsidRDefault="00000000">
            <w:r>
              <w:rPr>
                <w:sz w:val="20"/>
                <w:szCs w:val="20"/>
              </w:rPr>
              <w:t>Kafka + object upload</w:t>
            </w:r>
          </w:p>
        </w:tc>
        <w:tc>
          <w:tcPr>
            <w:tcW w:w="1560" w:type="dxa"/>
          </w:tcPr>
          <w:p w14:paraId="3B46942F" w14:textId="77777777" w:rsidR="00301F0B" w:rsidRDefault="00000000">
            <w:r>
              <w:rPr>
                <w:sz w:val="20"/>
                <w:szCs w:val="20"/>
              </w:rPr>
              <w:t>MQTT to Kafka bridge</w:t>
            </w:r>
          </w:p>
        </w:tc>
      </w:tr>
      <w:tr w:rsidR="00301F0B" w14:paraId="52A52CD6" w14:textId="77777777">
        <w:tblPrEx>
          <w:tblCellMar>
            <w:top w:w="0" w:type="dxa"/>
            <w:bottom w:w="0" w:type="dxa"/>
          </w:tblCellMar>
        </w:tblPrEx>
        <w:tc>
          <w:tcPr>
            <w:tcW w:w="1560" w:type="dxa"/>
          </w:tcPr>
          <w:p w14:paraId="7862B9FE" w14:textId="77777777" w:rsidR="00301F0B" w:rsidRDefault="00000000">
            <w:r>
              <w:rPr>
                <w:sz w:val="20"/>
                <w:szCs w:val="20"/>
              </w:rPr>
              <w:t>Primary Storage</w:t>
            </w:r>
          </w:p>
        </w:tc>
        <w:tc>
          <w:tcPr>
            <w:tcW w:w="1560" w:type="dxa"/>
          </w:tcPr>
          <w:p w14:paraId="7E864A7E" w14:textId="77777777" w:rsidR="00301F0B" w:rsidRDefault="00000000">
            <w:r>
              <w:rPr>
                <w:sz w:val="20"/>
                <w:szCs w:val="20"/>
              </w:rPr>
              <w:t>Data lake + NoSQL</w:t>
            </w:r>
          </w:p>
        </w:tc>
        <w:tc>
          <w:tcPr>
            <w:tcW w:w="1560" w:type="dxa"/>
          </w:tcPr>
          <w:p w14:paraId="00E4C27B" w14:textId="77777777" w:rsidR="00301F0B" w:rsidRDefault="00000000">
            <w:r>
              <w:rPr>
                <w:sz w:val="20"/>
                <w:szCs w:val="20"/>
              </w:rPr>
              <w:t>Cassandra + lake</w:t>
            </w:r>
          </w:p>
        </w:tc>
        <w:tc>
          <w:tcPr>
            <w:tcW w:w="1560" w:type="dxa"/>
          </w:tcPr>
          <w:p w14:paraId="6305A227" w14:textId="77777777" w:rsidR="00301F0B" w:rsidRDefault="00000000">
            <w:r>
              <w:rPr>
                <w:sz w:val="20"/>
                <w:szCs w:val="20"/>
              </w:rPr>
              <w:t>Lake + Elasticsearch</w:t>
            </w:r>
          </w:p>
        </w:tc>
        <w:tc>
          <w:tcPr>
            <w:tcW w:w="1560" w:type="dxa"/>
          </w:tcPr>
          <w:p w14:paraId="6A2A9838" w14:textId="77777777" w:rsidR="00301F0B" w:rsidRDefault="00000000">
            <w:r>
              <w:rPr>
                <w:sz w:val="20"/>
                <w:szCs w:val="20"/>
              </w:rPr>
              <w:t>Polyglot (object/NoSQL/search)</w:t>
            </w:r>
          </w:p>
        </w:tc>
        <w:tc>
          <w:tcPr>
            <w:tcW w:w="1560" w:type="dxa"/>
          </w:tcPr>
          <w:p w14:paraId="7F1E90C7" w14:textId="77777777" w:rsidR="00301F0B" w:rsidRDefault="00000000">
            <w:r>
              <w:rPr>
                <w:sz w:val="20"/>
                <w:szCs w:val="20"/>
              </w:rPr>
              <w:t>Time-series + lake</w:t>
            </w:r>
          </w:p>
        </w:tc>
      </w:tr>
      <w:tr w:rsidR="00301F0B" w14:paraId="1F292A5E" w14:textId="77777777">
        <w:tblPrEx>
          <w:tblCellMar>
            <w:top w:w="0" w:type="dxa"/>
            <w:bottom w:w="0" w:type="dxa"/>
          </w:tblCellMar>
        </w:tblPrEx>
        <w:tc>
          <w:tcPr>
            <w:tcW w:w="1560" w:type="dxa"/>
          </w:tcPr>
          <w:p w14:paraId="25B5E20A" w14:textId="77777777" w:rsidR="00301F0B" w:rsidRDefault="00000000">
            <w:r>
              <w:rPr>
                <w:sz w:val="20"/>
                <w:szCs w:val="20"/>
              </w:rPr>
              <w:t>Processing</w:t>
            </w:r>
          </w:p>
        </w:tc>
        <w:tc>
          <w:tcPr>
            <w:tcW w:w="1560" w:type="dxa"/>
          </w:tcPr>
          <w:p w14:paraId="4DAD5A5F" w14:textId="77777777" w:rsidR="00301F0B" w:rsidRDefault="00000000">
            <w:r>
              <w:rPr>
                <w:sz w:val="20"/>
                <w:szCs w:val="20"/>
              </w:rPr>
              <w:t>Batch + stream (Lambda)</w:t>
            </w:r>
          </w:p>
        </w:tc>
        <w:tc>
          <w:tcPr>
            <w:tcW w:w="1560" w:type="dxa"/>
          </w:tcPr>
          <w:p w14:paraId="0E70C5F5" w14:textId="77777777" w:rsidR="00301F0B" w:rsidRDefault="00000000">
            <w:r>
              <w:rPr>
                <w:sz w:val="20"/>
                <w:szCs w:val="20"/>
              </w:rPr>
              <w:t>Stream + batch split</w:t>
            </w:r>
          </w:p>
        </w:tc>
        <w:tc>
          <w:tcPr>
            <w:tcW w:w="1560" w:type="dxa"/>
          </w:tcPr>
          <w:p w14:paraId="1766FA82" w14:textId="77777777" w:rsidR="00301F0B" w:rsidRDefault="00000000">
            <w:r>
              <w:rPr>
                <w:sz w:val="20"/>
                <w:szCs w:val="20"/>
              </w:rPr>
              <w:t>Stream-dominant</w:t>
            </w:r>
          </w:p>
        </w:tc>
        <w:tc>
          <w:tcPr>
            <w:tcW w:w="1560" w:type="dxa"/>
          </w:tcPr>
          <w:p w14:paraId="64A51109" w14:textId="77777777" w:rsidR="00301F0B" w:rsidRDefault="00000000">
            <w:r>
              <w:rPr>
                <w:sz w:val="20"/>
                <w:szCs w:val="20"/>
              </w:rPr>
              <w:t>Stream + batch</w:t>
            </w:r>
          </w:p>
        </w:tc>
        <w:tc>
          <w:tcPr>
            <w:tcW w:w="1560" w:type="dxa"/>
          </w:tcPr>
          <w:p w14:paraId="2B8B6EDF" w14:textId="77777777" w:rsidR="00301F0B" w:rsidRDefault="00000000">
            <w:r>
              <w:rPr>
                <w:sz w:val="20"/>
                <w:szCs w:val="20"/>
              </w:rPr>
              <w:t>Stream + batch</w:t>
            </w:r>
          </w:p>
        </w:tc>
      </w:tr>
      <w:tr w:rsidR="00301F0B" w14:paraId="7702AC34" w14:textId="77777777">
        <w:tblPrEx>
          <w:tblCellMar>
            <w:top w:w="0" w:type="dxa"/>
            <w:bottom w:w="0" w:type="dxa"/>
          </w:tblCellMar>
        </w:tblPrEx>
        <w:tc>
          <w:tcPr>
            <w:tcW w:w="1560" w:type="dxa"/>
          </w:tcPr>
          <w:p w14:paraId="094B2B53" w14:textId="77777777" w:rsidR="00301F0B" w:rsidRDefault="00000000">
            <w:r>
              <w:rPr>
                <w:sz w:val="20"/>
                <w:szCs w:val="20"/>
              </w:rPr>
              <w:t>Latency Need</w:t>
            </w:r>
          </w:p>
        </w:tc>
        <w:tc>
          <w:tcPr>
            <w:tcW w:w="1560" w:type="dxa"/>
          </w:tcPr>
          <w:p w14:paraId="23C9B418" w14:textId="77777777" w:rsidR="00301F0B" w:rsidRDefault="00000000">
            <w:r>
              <w:rPr>
                <w:sz w:val="20"/>
                <w:szCs w:val="20"/>
              </w:rPr>
              <w:t>Seconds</w:t>
            </w:r>
          </w:p>
        </w:tc>
        <w:tc>
          <w:tcPr>
            <w:tcW w:w="1560" w:type="dxa"/>
          </w:tcPr>
          <w:p w14:paraId="0C0EC541" w14:textId="77777777" w:rsidR="00301F0B" w:rsidRDefault="00000000">
            <w:r>
              <w:rPr>
                <w:sz w:val="20"/>
                <w:szCs w:val="20"/>
              </w:rPr>
              <w:t>Seconds</w:t>
            </w:r>
          </w:p>
        </w:tc>
        <w:tc>
          <w:tcPr>
            <w:tcW w:w="1560" w:type="dxa"/>
          </w:tcPr>
          <w:p w14:paraId="2DB1FB7F" w14:textId="77777777" w:rsidR="00301F0B" w:rsidRDefault="00000000">
            <w:r>
              <w:rPr>
                <w:sz w:val="20"/>
                <w:szCs w:val="20"/>
              </w:rPr>
              <w:t>Milliseconds</w:t>
            </w:r>
          </w:p>
        </w:tc>
        <w:tc>
          <w:tcPr>
            <w:tcW w:w="1560" w:type="dxa"/>
          </w:tcPr>
          <w:p w14:paraId="200A0969" w14:textId="77777777" w:rsidR="00301F0B" w:rsidRDefault="00000000">
            <w:r>
              <w:rPr>
                <w:sz w:val="20"/>
                <w:szCs w:val="20"/>
              </w:rPr>
              <w:t>Seconds-minutes</w:t>
            </w:r>
          </w:p>
        </w:tc>
        <w:tc>
          <w:tcPr>
            <w:tcW w:w="1560" w:type="dxa"/>
          </w:tcPr>
          <w:p w14:paraId="3C17C58E" w14:textId="77777777" w:rsidR="00301F0B" w:rsidRDefault="00000000">
            <w:r>
              <w:rPr>
                <w:sz w:val="20"/>
                <w:szCs w:val="20"/>
              </w:rPr>
              <w:t>Seconds (alerts)</w:t>
            </w:r>
          </w:p>
        </w:tc>
      </w:tr>
      <w:tr w:rsidR="00301F0B" w14:paraId="1009A5A4" w14:textId="77777777">
        <w:tblPrEx>
          <w:tblCellMar>
            <w:top w:w="0" w:type="dxa"/>
            <w:bottom w:w="0" w:type="dxa"/>
          </w:tblCellMar>
        </w:tblPrEx>
        <w:tc>
          <w:tcPr>
            <w:tcW w:w="1560" w:type="dxa"/>
          </w:tcPr>
          <w:p w14:paraId="3C953C01" w14:textId="77777777" w:rsidR="00301F0B" w:rsidRDefault="00000000">
            <w:r>
              <w:rPr>
                <w:sz w:val="20"/>
                <w:szCs w:val="20"/>
              </w:rPr>
              <w:t>Key Security Focus</w:t>
            </w:r>
          </w:p>
        </w:tc>
        <w:tc>
          <w:tcPr>
            <w:tcW w:w="1560" w:type="dxa"/>
          </w:tcPr>
          <w:p w14:paraId="442BC89B" w14:textId="77777777" w:rsidR="00301F0B" w:rsidRDefault="00000000">
            <w:r>
              <w:rPr>
                <w:sz w:val="20"/>
                <w:szCs w:val="20"/>
              </w:rPr>
              <w:t>Behavioural privacy</w:t>
            </w:r>
          </w:p>
        </w:tc>
        <w:tc>
          <w:tcPr>
            <w:tcW w:w="1560" w:type="dxa"/>
          </w:tcPr>
          <w:p w14:paraId="5EBBBEC5" w14:textId="77777777" w:rsidR="00301F0B" w:rsidRDefault="00000000">
            <w:r>
              <w:rPr>
                <w:sz w:val="20"/>
                <w:szCs w:val="20"/>
              </w:rPr>
              <w:t>Location privacy</w:t>
            </w:r>
          </w:p>
        </w:tc>
        <w:tc>
          <w:tcPr>
            <w:tcW w:w="1560" w:type="dxa"/>
          </w:tcPr>
          <w:p w14:paraId="63926AF3" w14:textId="77777777" w:rsidR="00301F0B" w:rsidRDefault="00000000">
            <w:r>
              <w:rPr>
                <w:sz w:val="20"/>
                <w:szCs w:val="20"/>
              </w:rPr>
              <w:t>PCI-DSS, tokenisation</w:t>
            </w:r>
          </w:p>
        </w:tc>
        <w:tc>
          <w:tcPr>
            <w:tcW w:w="1560" w:type="dxa"/>
          </w:tcPr>
          <w:p w14:paraId="031DCEE3" w14:textId="77777777" w:rsidR="00301F0B" w:rsidRDefault="00000000">
            <w:r>
              <w:rPr>
                <w:sz w:val="20"/>
                <w:szCs w:val="20"/>
              </w:rPr>
              <w:t>Content moderation</w:t>
            </w:r>
          </w:p>
        </w:tc>
        <w:tc>
          <w:tcPr>
            <w:tcW w:w="1560" w:type="dxa"/>
          </w:tcPr>
          <w:p w14:paraId="29968F71" w14:textId="77777777" w:rsidR="00301F0B" w:rsidRDefault="00000000">
            <w:r>
              <w:rPr>
                <w:sz w:val="20"/>
                <w:szCs w:val="20"/>
              </w:rPr>
              <w:t>OT/IT segmentation</w:t>
            </w:r>
          </w:p>
        </w:tc>
      </w:tr>
    </w:tbl>
    <w:p w14:paraId="5D2448E9" w14:textId="77777777" w:rsidR="00301F0B" w:rsidRDefault="00000000">
      <w:pPr>
        <w:pStyle w:val="Heading2"/>
        <w:spacing w:before="160" w:after="100"/>
      </w:pPr>
      <w:r>
        <w:rPr>
          <w:b/>
          <w:bCs/>
          <w:color w:val="2E5395"/>
          <w:sz w:val="28"/>
          <w:szCs w:val="28"/>
        </w:rPr>
        <w:t>7.1 Data Characteristics Across Systems</w:t>
      </w:r>
    </w:p>
    <w:p w14:paraId="540E05A9" w14:textId="77777777" w:rsidR="00301F0B" w:rsidRDefault="00000000">
      <w:pPr>
        <w:spacing w:after="120" w:line="264" w:lineRule="auto"/>
        <w:jc w:val="both"/>
      </w:pPr>
      <w:r>
        <w:t>Every system exhibits high Volume and high Velocity to some degree, but the dominant "V" differs: the fraud detection and ride-sharing systems are Velocity-dominant, since their core value proposition collapses if data is not processed within seconds; the social media and recommendation systems are Variety-dominant, since their central challenge is reconciling structurally different data forms; and the manufacturing platform is jointly Volume- and Variety-dominant, owing to continuous sensor telemetry combined with cross-plant protocol heterogeneity.</w:t>
      </w:r>
    </w:p>
    <w:p w14:paraId="38FBF744" w14:textId="77777777" w:rsidR="00301F0B" w:rsidRDefault="00000000">
      <w:pPr>
        <w:pStyle w:val="Heading2"/>
        <w:spacing w:before="160" w:after="100"/>
      </w:pPr>
      <w:r>
        <w:rPr>
          <w:b/>
          <w:bCs/>
          <w:color w:val="2E5395"/>
          <w:sz w:val="28"/>
          <w:szCs w:val="28"/>
        </w:rPr>
        <w:t>7.2 Ingestion Patterns</w:t>
      </w:r>
    </w:p>
    <w:p w14:paraId="3549C17F" w14:textId="77777777" w:rsidR="00301F0B" w:rsidRDefault="00000000">
      <w:pPr>
        <w:spacing w:after="120" w:line="264" w:lineRule="auto"/>
        <w:jc w:val="both"/>
      </w:pPr>
      <w:r>
        <w:t>All five systems converge on a distributed, partitioned publish-subscribe messaging backbone (Kafka or a close equivalent) as the entry point for high-frequency data, confirming that event streaming is the de facto standard ingestion pattern for modern big-data systems regardless of domain. The partitioning key, however, is chosen specifically to match each system's dominant query pattern: by user for the recommendation engine, by geo-cell for ride-sharing, by account for fraud detection, by post for social media, and by plant/machine for manufacturing IoT — illustrating that partitioning strategy is not a generic default but a deliberate design decision tied to how data will later be read.</w:t>
      </w:r>
    </w:p>
    <w:p w14:paraId="6990FE26" w14:textId="77777777" w:rsidR="00301F0B" w:rsidRDefault="00000000">
      <w:pPr>
        <w:pStyle w:val="Heading2"/>
        <w:spacing w:before="160" w:after="100"/>
      </w:pPr>
      <w:r>
        <w:rPr>
          <w:b/>
          <w:bCs/>
          <w:color w:val="2E5395"/>
          <w:sz w:val="28"/>
          <w:szCs w:val="28"/>
        </w:rPr>
        <w:t>7.3 Storage Strategy</w:t>
      </w:r>
    </w:p>
    <w:p w14:paraId="7A72EFE9" w14:textId="77777777" w:rsidR="00301F0B" w:rsidRDefault="00000000">
      <w:pPr>
        <w:spacing w:after="120" w:line="264" w:lineRule="auto"/>
        <w:jc w:val="both"/>
      </w:pPr>
      <w:r>
        <w:t>A tiered hot/cold storage split recurs across every system: a fast, low-latency store for the most recent or most frequently accessed data (Redis, Cassandra, Elasticsearch, or a time-series database), paired with a cheaper, horizontally scalable data lake for the full historical archive used in batch analytics and model training. This pattern — sometimes called "hot path/cold path" storage — reflects the universal trade-off between query latency and storage cost, and each system resolves that trade-off using the storage technology best matched to its own dominant access pattern rather than a one-size-fits-all database.</w:t>
      </w:r>
    </w:p>
    <w:p w14:paraId="266AC45E" w14:textId="77777777" w:rsidR="00301F0B" w:rsidRDefault="00000000">
      <w:pPr>
        <w:pStyle w:val="Heading2"/>
        <w:spacing w:before="160" w:after="100"/>
      </w:pPr>
      <w:r>
        <w:rPr>
          <w:b/>
          <w:bCs/>
          <w:color w:val="2E5395"/>
          <w:sz w:val="28"/>
          <w:szCs w:val="28"/>
        </w:rPr>
        <w:t>7.4 Processing Models</w:t>
      </w:r>
    </w:p>
    <w:p w14:paraId="68FC1466" w14:textId="77777777" w:rsidR="00301F0B" w:rsidRDefault="00000000">
      <w:pPr>
        <w:spacing w:after="120" w:line="264" w:lineRule="auto"/>
        <w:jc w:val="both"/>
      </w:pPr>
      <w:r>
        <w:lastRenderedPageBreak/>
        <w:t>Every system except the fraud-detection dashboard employs a clear dual batch-and-stream (Lambda-style) processing model, reflecting the general industry consensus that stream processing alone struggles to deliver the statistical depth needed for training accurate models, while batch processing alone cannot meet freshness requirements. The fraud detection system is the closest to a stream-dominant (Kappa-style) architecture precisely because its millisecond-scale latency requirement leaves little room for any batch component in the live decision path, with batch processing relegated entirely to offline model training rather than the operational pipeline.</w:t>
      </w:r>
    </w:p>
    <w:p w14:paraId="29A78D7C" w14:textId="77777777" w:rsidR="00301F0B" w:rsidRDefault="00000000">
      <w:pPr>
        <w:pStyle w:val="Heading2"/>
        <w:spacing w:before="160" w:after="100"/>
      </w:pPr>
      <w:r>
        <w:rPr>
          <w:b/>
          <w:bCs/>
          <w:color w:val="2E5395"/>
          <w:sz w:val="28"/>
          <w:szCs w:val="28"/>
        </w:rPr>
        <w:t>7.5 Security and Scalability</w:t>
      </w:r>
    </w:p>
    <w:p w14:paraId="1BEB8E43" w14:textId="77777777" w:rsidR="00301F0B" w:rsidRDefault="00000000">
      <w:pPr>
        <w:spacing w:after="120" w:line="264" w:lineRule="auto"/>
        <w:jc w:val="both"/>
      </w:pPr>
      <w:r>
        <w:t>All five systems require encryption in transit and at rest, authenticated ingestion, and role-based access control, but the specific regulatory and risk focus differs by domain: behavioural and location privacy dominate the recommendation and ride-sharing systems, financial-industry compliance (PCI-DSS) dominates fraud detection, content moderation and platform-abuse prevention dominate social media, and operational-technology security dominates manufacturing IoT. Scalability, in every case, is achieved through horizontal partitioning at each architectural layer — the messaging backbone, the processing cluster, and the storage tier — which is the single most consistent architectural principle observed across all five domains.</w:t>
      </w:r>
    </w:p>
    <w:p w14:paraId="36BD6D5E" w14:textId="77777777" w:rsidR="00301F0B" w:rsidRDefault="00000000">
      <w:pPr>
        <w:pStyle w:val="Heading1"/>
        <w:spacing w:before="200" w:after="120"/>
      </w:pPr>
      <w:r>
        <w:rPr>
          <w:b/>
          <w:bCs/>
          <w:color w:val="1F3864"/>
        </w:rPr>
        <w:t>8. Overall Conclusion</w:t>
      </w:r>
    </w:p>
    <w:p w14:paraId="1C197E80" w14:textId="77777777" w:rsidR="00301F0B" w:rsidRDefault="00000000">
      <w:pPr>
        <w:spacing w:after="120" w:line="264" w:lineRule="auto"/>
        <w:jc w:val="both"/>
      </w:pPr>
      <w:r>
        <w:t>Reverse engineering each of these five systems from their stated user-facing behaviour demonstrates that, despite operating in entirely different domains — e-commerce, transportation, finance, social media, and industrial manufacturing — modern big-data platforms are built from a common, recurring vocabulary of architectural patterns. Distributed, partitioned event streaming (most plausibly Kafka or an equivalent) consistently serves as the ingestion backbone; a tiered hot/cold storage strategy consistently balances query latency against storage economics; a dual batch-and-stream processing model consistently reconciles the tension between analytical depth and freshness; and layered security controls — encryption, authentication, access control, and domain-specific compliance measures — consistently protect sensitive data at every layer.</w:t>
      </w:r>
    </w:p>
    <w:p w14:paraId="1916B5B1" w14:textId="77777777" w:rsidR="00301F0B" w:rsidRDefault="00000000">
      <w:pPr>
        <w:spacing w:after="120" w:line="264" w:lineRule="auto"/>
        <w:jc w:val="both"/>
      </w:pPr>
      <w:r>
        <w:t>What differentiates the five systems is not the presence or absence of these patterns but the specific way each pattern is tuned to the system's dominant constraint: partitioning keyed by user, geography, or account; storage optimised for time-series, document, or object data; and processing weighted toward stream-dominant near-real-time decisioning or batch-dominant deep analytics, according to whichever constraint — Velocity, Volume, or Variety — is most acute for that domain. This reinforces the central lesson of this assessment: competent big-data architecture is not the application of a single fixed template, but the disciplined selection and tuning of a known set of components to fit the specific data characteristics, latency requirements, and security obligations of the problem at hand. Every inference presented in this document has been derived from, and justified against, the explicit scenario description together with well-established big-data engineering principles, and is presented as the most technically defensible probable architecture rather than as a confirmed implementation detail, since no scenario discloses an organisation's actual internal technology stack.</w:t>
      </w:r>
    </w:p>
    <w:sectPr w:rsidR="00301F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425C" w14:textId="77777777" w:rsidR="00B710FC" w:rsidRDefault="00B710FC">
      <w:r>
        <w:separator/>
      </w:r>
    </w:p>
  </w:endnote>
  <w:endnote w:type="continuationSeparator" w:id="0">
    <w:p w14:paraId="749138DE" w14:textId="77777777" w:rsidR="00B710FC" w:rsidRDefault="00B71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06E8" w14:textId="77777777" w:rsidR="00301F0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73E0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73E0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17453" w14:textId="77777777" w:rsidR="00B710FC" w:rsidRDefault="00B710FC">
      <w:r>
        <w:separator/>
      </w:r>
    </w:p>
  </w:footnote>
  <w:footnote w:type="continuationSeparator" w:id="0">
    <w:p w14:paraId="6F5F461F" w14:textId="77777777" w:rsidR="00B710FC" w:rsidRDefault="00B71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4DB9" w14:textId="77777777" w:rsidR="00301F0B" w:rsidRDefault="00000000">
    <w:pPr>
      <w:jc w:val="right"/>
    </w:pPr>
    <w:r>
      <w:rPr>
        <w:color w:val="808080"/>
        <w:sz w:val="18"/>
        <w:szCs w:val="18"/>
      </w:rPr>
      <w:t>CSA15 — CO4 — Reverse Engineering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26A99"/>
    <w:multiLevelType w:val="hybridMultilevel"/>
    <w:tmpl w:val="7B6C4A5A"/>
    <w:lvl w:ilvl="0" w:tplc="C74420B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AAA6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AA0E2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EC42C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12A1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820A8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06041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42663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0A25B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D4518B2"/>
    <w:multiLevelType w:val="hybridMultilevel"/>
    <w:tmpl w:val="4C8AA3E4"/>
    <w:lvl w:ilvl="0" w:tplc="006A1DF6">
      <w:start w:val="1"/>
      <w:numFmt w:val="bullet"/>
      <w:lvlText w:val="●"/>
      <w:lvlJc w:val="left"/>
      <w:pPr>
        <w:ind w:left="720" w:hanging="360"/>
      </w:pPr>
    </w:lvl>
    <w:lvl w:ilvl="1" w:tplc="E1F8A2E0">
      <w:start w:val="1"/>
      <w:numFmt w:val="bullet"/>
      <w:lvlText w:val="○"/>
      <w:lvlJc w:val="left"/>
      <w:pPr>
        <w:ind w:left="1440" w:hanging="360"/>
      </w:pPr>
    </w:lvl>
    <w:lvl w:ilvl="2" w:tplc="E1540C2E">
      <w:start w:val="1"/>
      <w:numFmt w:val="bullet"/>
      <w:lvlText w:val="■"/>
      <w:lvlJc w:val="left"/>
      <w:pPr>
        <w:ind w:left="2160" w:hanging="360"/>
      </w:pPr>
    </w:lvl>
    <w:lvl w:ilvl="3" w:tplc="92E4B95C">
      <w:start w:val="1"/>
      <w:numFmt w:val="bullet"/>
      <w:lvlText w:val="●"/>
      <w:lvlJc w:val="left"/>
      <w:pPr>
        <w:ind w:left="2880" w:hanging="360"/>
      </w:pPr>
    </w:lvl>
    <w:lvl w:ilvl="4" w:tplc="B0E6F7A2">
      <w:start w:val="1"/>
      <w:numFmt w:val="bullet"/>
      <w:lvlText w:val="○"/>
      <w:lvlJc w:val="left"/>
      <w:pPr>
        <w:ind w:left="3600" w:hanging="360"/>
      </w:pPr>
    </w:lvl>
    <w:lvl w:ilvl="5" w:tplc="AA82C976">
      <w:start w:val="1"/>
      <w:numFmt w:val="bullet"/>
      <w:lvlText w:val="■"/>
      <w:lvlJc w:val="left"/>
      <w:pPr>
        <w:ind w:left="4320" w:hanging="360"/>
      </w:pPr>
    </w:lvl>
    <w:lvl w:ilvl="6" w:tplc="2F7C2714">
      <w:start w:val="1"/>
      <w:numFmt w:val="bullet"/>
      <w:lvlText w:val="●"/>
      <w:lvlJc w:val="left"/>
      <w:pPr>
        <w:ind w:left="5040" w:hanging="360"/>
      </w:pPr>
    </w:lvl>
    <w:lvl w:ilvl="7" w:tplc="955EBA4A">
      <w:start w:val="1"/>
      <w:numFmt w:val="bullet"/>
      <w:lvlText w:val="●"/>
      <w:lvlJc w:val="left"/>
      <w:pPr>
        <w:ind w:left="5760" w:hanging="360"/>
      </w:pPr>
    </w:lvl>
    <w:lvl w:ilvl="8" w:tplc="3390AB32">
      <w:start w:val="1"/>
      <w:numFmt w:val="bullet"/>
      <w:lvlText w:val="●"/>
      <w:lvlJc w:val="left"/>
      <w:pPr>
        <w:ind w:left="6480" w:hanging="360"/>
      </w:pPr>
    </w:lvl>
  </w:abstractNum>
  <w:num w:numId="1" w16cid:durableId="372774499">
    <w:abstractNumId w:val="1"/>
    <w:lvlOverride w:ilvl="0">
      <w:startOverride w:val="1"/>
    </w:lvlOverride>
  </w:num>
  <w:num w:numId="2" w16cid:durableId="156174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F0B"/>
    <w:rsid w:val="00273E0F"/>
    <w:rsid w:val="00301F0B"/>
    <w:rsid w:val="00440B6A"/>
    <w:rsid w:val="00B71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BB95"/>
  <w15:docId w15:val="{204F46CD-3102-4693-BFE3-4D85D0ED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273E0F"/>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7580</Words>
  <Characters>43207</Characters>
  <Application>Microsoft Office Word</Application>
  <DocSecurity>0</DocSecurity>
  <Lines>360</Lines>
  <Paragraphs>101</Paragraphs>
  <ScaleCrop>false</ScaleCrop>
  <Company/>
  <LinksUpToDate>false</LinksUpToDate>
  <CharactersWithSpaces>50686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sree</cp:lastModifiedBy>
  <cp:revision>2</cp:revision>
  <dcterms:created xsi:type="dcterms:W3CDTF">2026-08-19T19:11:00Z</dcterms:created>
  <dcterms:modified xsi:type="dcterms:W3CDTF">2026-08-19T19:11:00Z</dcterms:modified>
</cp:coreProperties>
</file>