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45CDF2D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FD0060" w:rsidRPr="00FD0060">
        <w:rPr>
          <w:rFonts w:ascii="Times New Roman" w:hAnsi="Times New Roman" w:cs="Times New Roman"/>
          <w:b/>
          <w:bCs/>
          <w:sz w:val="28"/>
          <w:szCs w:val="28"/>
        </w:rPr>
        <w:t>8: Implementing the Strategy Pattern</w:t>
      </w:r>
    </w:p>
    <w:p w14:paraId="09CD45E7" w14:textId="77777777" w:rsidR="00FD0060" w:rsidRPr="00FD0060" w:rsidRDefault="00475123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0060" w:rsidRPr="00FD006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FF6D1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3C099BD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7AD858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36E8DC9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6293E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46D1982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C60A3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558202B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AE3B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Credit Card");</w:t>
      </w:r>
    </w:p>
    <w:p w14:paraId="721E6FD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4B5A72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7DB7757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597E001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1D6A17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1FD18A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A801B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29564F5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E036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346A2D3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</w:p>
    <w:p w14:paraId="57E148E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B68DF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strategy;</w:t>
      </w:r>
    </w:p>
    <w:p w14:paraId="0E7265C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55B82E2E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D08A3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7C52D18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3CB2F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SetStrategy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03AB35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21123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41C3C34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E27871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ExecutePayment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D7525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2BFA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strategy.Pay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5C354B3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93C44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DE2B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42514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7DB5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B9CC4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DD63B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context =</w:t>
      </w:r>
    </w:p>
    <w:p w14:paraId="1C47C46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0846FB4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(4234);</w:t>
      </w:r>
    </w:p>
    <w:p w14:paraId="2623052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context.SetStrategy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28885BC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(4376);</w:t>
      </w:r>
    </w:p>
    <w:p w14:paraId="123632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44D2A3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F59FBBD" w:rsidR="00475123" w:rsidRPr="007712B9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65AC845E" w:rsidR="0035611D" w:rsidRPr="007712B9" w:rsidRDefault="003147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1474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65EFBAB" wp14:editId="1612EC9A">
            <wp:extent cx="6528607" cy="655320"/>
            <wp:effectExtent l="0" t="0" r="5715" b="0"/>
            <wp:docPr id="8199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9996" cy="6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2026-06-21T11:29:00Z</dcterms:created>
  <dcterms:modified xsi:type="dcterms:W3CDTF">2026-06-21T11:29:00Z</dcterms:modified>
</cp:coreProperties>
</file>