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Interview Presentation Script: Kavya Ashwath</w:t>
      </w:r>
    </w:p>
    <w:p>
      <w:pPr/>
      <w:r>
        <w:t xml:space="preserve">Prepared 25 October 2026 · 20 minutes · Problem-solving, not a product walkthrough</w:t>
      </w:r>
    </w:p>
    <w:p>
      <w:pPr>
        <w:pStyle w:val="Heading2"/>
      </w:pPr>
      <w:r>
        <w:t xml:space="preserve">How to use this script</w:t>
      </w:r>
    </w:p>
    <w:p>
      <w:pPr/>
      <w:r>
        <w:t xml:space="preserve">Every story follows one spine: </w:t>
      </w:r>
      <w:r>
        <w:rPr>
          <w:b/>
        </w:rPr>
        <w:t xml:space="preserve">Problem → Why it was hard → What I decided → Outcome.</w:t>
      </w:r>
      <w:r>
        <w:t xml:space="preserve"> Features only appear when they are part of the solution. The spoken text is in plain paragraphs, written the way you would say it, so change any wording that doesn’t sound like you. Items in [square brackets] are things to confirm or fill in. The flow diagrams are simple text sketches; redraw them as clean boxes and arrows on your single slide and show one per story.</w:t>
      </w:r>
    </w:p>
    <w:tbl>
      <w:tblPr>
        <w:tblStyle w:val="TableGrid"/>
        <w:tblW w:w="0" w:type="auto"/>
        <w:tblLayout w:type="fixed"/>
        <w:tblLook w:val="04A0" w:firstRow="1" w:lastRow="0" w:firstColumn="0" w:lastColumn="0" w:noHBand="0" w:noVBand="1"/>
      </w:tblPr>
      <w:tblGrid>
        <w:gridCol w:w="7733"/>
        <w:gridCol w:w="1626"/>
      </w:tblGrid>
      <w:tr>
        <w:trPr>
          <w:tblHeader/>
        </w:trPr>
        <w:tc>
          <w:tcPr>
            <w:tcW w:w="7733" w:type="dxa"/>
            <w:shd w:val="clear" w:color="auto" w:fill="F2F2F2"/>
          </w:tcPr>
          <w:p>
            <w:pPr/>
            <w:r>
              <w:t xml:space="preserve">Section</w:t>
            </w:r>
          </w:p>
        </w:tc>
        <w:tc>
          <w:tcPr>
            <w:tcW w:w="1626" w:type="dxa"/>
            <w:shd w:val="clear" w:color="auto" w:fill="F2F2F2"/>
          </w:tcPr>
          <w:p>
            <w:pPr/>
            <w:r>
              <w:t xml:space="preserve">Time</w:t>
            </w:r>
          </w:p>
        </w:tc>
      </w:tr>
      <w:tr>
        <w:tc>
          <w:tcPr>
            <w:tcW w:w="7733" w:type="dxa"/>
          </w:tcPr>
          <w:p>
            <w:pPr/>
            <w:r>
              <w:t xml:space="preserve">1. Opening</w:t>
            </w:r>
          </w:p>
        </w:tc>
        <w:tc>
          <w:tcPr>
            <w:tcW w:w="1626" w:type="dxa"/>
          </w:tcPr>
          <w:p>
            <w:pPr/>
            <w:r>
              <w:t xml:space="preserve">2 min</w:t>
            </w:r>
          </w:p>
        </w:tc>
      </w:tr>
      <w:tr>
        <w:tc>
          <w:tcPr>
            <w:tcW w:w="7733" w:type="dxa"/>
          </w:tcPr>
          <w:p>
            <w:pPr/>
            <w:r>
              <w:t xml:space="preserve">2. Early career: a few React problems</w:t>
            </w:r>
          </w:p>
        </w:tc>
        <w:tc>
          <w:tcPr>
            <w:tcW w:w="1626" w:type="dxa"/>
          </w:tcPr>
          <w:p>
            <w:pPr/>
            <w:r>
              <w:t xml:space="preserve">3.5 min</w:t>
            </w:r>
          </w:p>
        </w:tc>
      </w:tr>
      <w:tr>
        <w:tc>
          <w:tcPr>
            <w:tcW w:w="7733" w:type="dxa"/>
          </w:tcPr>
          <w:p>
            <w:pPr/>
            <w:r>
              <w:t xml:space="preserve">3. Autonom8 context</w:t>
            </w:r>
          </w:p>
        </w:tc>
        <w:tc>
          <w:tcPr>
            <w:tcW w:w="1626" w:type="dxa"/>
          </w:tcPr>
          <w:p>
            <w:pPr/>
            <w:r>
              <w:t xml:space="preserve">1 min</w:t>
            </w:r>
          </w:p>
        </w:tc>
      </w:tr>
      <w:tr>
        <w:tc>
          <w:tcPr>
            <w:tcW w:w="7733" w:type="dxa"/>
          </w:tcPr>
          <w:p>
            <w:pPr/>
            <w:r>
              <w:t xml:space="preserve">4. Story 1: Pixel-accurate forms without breaking customers</w:t>
            </w:r>
          </w:p>
        </w:tc>
        <w:tc>
          <w:tcPr>
            <w:tcW w:w="1626" w:type="dxa"/>
          </w:tcPr>
          <w:p>
            <w:pPr/>
            <w:r>
              <w:t xml:space="preserve">4 min</w:t>
            </w:r>
          </w:p>
        </w:tc>
      </w:tr>
      <w:tr>
        <w:tc>
          <w:tcPr>
            <w:tcW w:w="7733" w:type="dxa"/>
          </w:tcPr>
          <w:p>
            <w:pPr/>
            <w:r>
              <w:t xml:space="preserve">5. Story 2: An AI agent inside a rigid workflow</w:t>
            </w:r>
          </w:p>
        </w:tc>
        <w:tc>
          <w:tcPr>
            <w:tcW w:w="1626" w:type="dxa"/>
          </w:tcPr>
          <w:p>
            <w:pPr/>
            <w:r>
              <w:t xml:space="preserve">4.5 min</w:t>
            </w:r>
          </w:p>
        </w:tc>
      </w:tr>
      <w:tr>
        <w:tc>
          <w:tcPr>
            <w:tcW w:w="7733" w:type="dxa"/>
          </w:tcPr>
          <w:p>
            <w:pPr/>
            <w:r>
              <w:t xml:space="preserve">6. Story 3: First-ever SSO with a strict provider</w:t>
            </w:r>
          </w:p>
        </w:tc>
        <w:tc>
          <w:tcPr>
            <w:tcW w:w="1626" w:type="dxa"/>
          </w:tcPr>
          <w:p>
            <w:pPr/>
            <w:r>
              <w:t xml:space="preserve">2 min</w:t>
            </w:r>
          </w:p>
        </w:tc>
      </w:tr>
      <w:tr>
        <w:tc>
          <w:tcPr>
            <w:tcW w:w="7733" w:type="dxa"/>
          </w:tcPr>
          <w:p>
            <w:pPr/>
            <w:r>
              <w:t xml:space="preserve">7. Story 4: Video KYC on WebRTC</w:t>
            </w:r>
          </w:p>
        </w:tc>
        <w:tc>
          <w:tcPr>
            <w:tcW w:w="1626" w:type="dxa"/>
          </w:tcPr>
          <w:p>
            <w:pPr/>
            <w:r>
              <w:t xml:space="preserve">2 min</w:t>
            </w:r>
          </w:p>
        </w:tc>
      </w:tr>
      <w:tr>
        <w:tc>
          <w:tcPr>
            <w:tcW w:w="7733" w:type="dxa"/>
          </w:tcPr>
          <w:p>
            <w:pPr/>
            <w:r>
              <w:t xml:space="preserve">8. Templates and close</w:t>
            </w:r>
          </w:p>
        </w:tc>
        <w:tc>
          <w:tcPr>
            <w:tcW w:w="1626" w:type="dxa"/>
          </w:tcPr>
          <w:p>
            <w:pPr/>
            <w:r>
              <w:t xml:space="preserve">1 min</w:t>
            </w:r>
          </w:p>
        </w:tc>
      </w:tr>
    </w:tbl>
    <w:p>
      <w:pPr>
        <w:pStyle w:val="Heading2"/>
      </w:pPr>
      <w:r>
        <w:t xml:space="preserve">1. Opening (2 min)</w:t>
      </w:r>
    </w:p>
    <w:p>
      <w:pPr/>
      <w:r>
        <w:t xml:space="preserve">Hi, I’m Kavya. I’m a full-stack engineer with four years of experience, and I’d like to spend my twenty minutes on problems I’ve solved rather than products I’ve built.</w:t>
      </w:r>
    </w:p>
    <w:p>
      <w:pPr/>
      <w:r>
        <w:t xml:space="preserve">I started my career as a React developer, working part-time on contract with a team doing UI/UX research. That gave me an eye for the small details of how a person actually experiences a product, and it still shapes how I work. From there I grew into a full-stack engineer, with Golang and Node.js on the backend, on PostgreSQL and Redis. I’ve worked in teams from three people up to around thirty, and in each one I ended up owning technical decisions.</w:t>
      </w:r>
    </w:p>
    <w:p>
      <w:pPr/>
      <w:r>
        <w:t xml:space="preserve">I’ll walk you through a few problems I’ve solved: how we rebuilt a layout engine without breaking existing customers, how we put an AI agent inside a rigid workflow, how I integrated a very strict SSO provider for the first time, and how I built a video KYC feature on WebRTC. But first, a short look at where I started with React.</w:t>
      </w:r>
    </w:p>
    <w:p>
      <w:pPr>
        <w:pStyle w:val="Heading2"/>
      </w:pPr>
      <w:r>
        <w:t xml:space="preserve">2. Early career: a few React problems (3.5 min)</w:t>
      </w:r>
    </w:p>
    <w:p>
      <w:pPr/>
      <w:r>
        <w:t xml:space="preserve">I started as a part-time software engineer on a three-month contract with a team at the Singapore University of Technology and Design that did UI/UX research, during the pilot run of their company. We built a web app where students show projects, notes and theses on one page, with Google-Docs-style collaborative comments using operational transformation on Node.js, floating panels, and a Three.js mesh where each dot is a student. The hard part was embedding that Three.js scene into React through an iframe and keeping the page fully responsive around it. It was my first real lesson in making two worlds talk to each other.</w:t>
      </w:r>
    </w:p>
    <w:p>
      <w:pPr/>
      <w:r>
        <w:t xml:space="preserve">After that I moved into freelancing and built a mutual fund sales platform for a small sales company. It wasn’t a tech company, and the team was about three people, so I made the frontend decisions myself. A few problems stand out.</w:t>
      </w:r>
    </w:p>
    <w:p>
      <w:pPr/>
      <w:r>
        <w:rPr>
          <w:b/>
        </w:rPr>
        <w:t xml:space="preserve">Dynamic content in a client-rendered app.</w:t>
      </w:r>
      <w:r>
        <w:t xml:space="preserve"> We stored content in the database and had to render it as HTML. In React that means dangerouslySetInnerHTML, and as the name warns, it opens the door to cross-site scripting. So every piece of content went through DOMPurify before rendering.</w:t>
      </w:r>
    </w:p>
    <w:p>
      <w:pPr/>
      <w:r>
        <w:rPr>
          <w:b/>
        </w:rPr>
        <w:t xml:space="preserve">Searching 4,000+ records.</w:t>
      </w:r>
      <w:r>
        <w:t xml:space="preserve"> The market data came from the BSE API, and the first version searched on every keystroke. Typing a single letter scanned thousands of records and the page stuttered. I used debouncing, so the search only runs once the user pauses typing.</w:t>
      </w:r>
    </w:p>
    <w:p>
      <w:pPr/>
      <w:r>
        <w:rPr>
          <w:b/>
        </w:rPr>
        <w:t xml:space="preserve">Heavy pages.</w:t>
      </w:r>
      <w:r>
        <w:t xml:space="preserve"> Charts and large screens slowed the first load. I used lazy loading and code splitting so each screen loads only what it needs, and we cut bundle size and load time by around 70%. [CONFIRM: that the 70% belongs to this project; your CV lists it under freelance work.]</w:t>
      </w:r>
    </w:p>
    <w:p>
      <w:pPr/>
      <w:r>
        <w:rPr>
          <w:b/>
        </w:rPr>
        <w:t xml:space="preserve">Access control.</w:t>
      </w:r>
      <w:r>
        <w:t xml:space="preserve"> There was a super admin and partners, and each partner had their own users. A partner logging in had to see only their own customers, never the super admin’s view. I designed the role-based access schema so data is scoped by partner ID, and built the admin panel filters on top of it. [CONFIRM: that the checks are enforced on the backend, not only hidden in the UI.]</w:t>
      </w:r>
    </w:p>
    <w:p>
      <w:pPr>
        <w:pStyle w:val="Code"/>
      </w:pPr>
      <w:r>
        <w:t xml:space="preserve">Problem                          Fix</w:t>
        <w:br/>
        <w:t xml:space="preserve">-------------------------------  ---------------------------------</w:t>
        <w:br/>
        <w:t xml:space="preserve">DB HTML in client-side React  -&gt;  sanitise with DOMPurify first</w:t>
        <w:br/>
        <w:t xml:space="preserve">Search over 4,000+ records    -&gt;  debounce the input</w:t>
        <w:br/>
        <w:t xml:space="preserve">Slow first load               -&gt;  lazy loading + code splitting</w:t>
        <w:br/>
        <w:t xml:space="preserve">Partners seeing wrong data    -&gt;  RBAC schema scoped by partner ID</w:t>
      </w:r>
    </w:p>
    <w:p>
      <w:pPr>
        <w:pStyle w:val="Heading2"/>
      </w:pPr>
      <w:r>
        <w:t xml:space="preserve">3. Autonom8 context (1 min)</w:t>
      </w:r>
    </w:p>
    <w:p>
      <w:pPr/>
      <w:r>
        <w:t xml:space="preserve">At Autonom8 I joined a SaaS low-code platform built on a fork of Camunda 7. It has two applications. Studio is where developers design forms and workflows. Runtime is where end users actually run them, with role-based access, form history, decision tables, branding and theming. I worked across both, and on the Golang services behind them. Each problem I’ll show you came from a client requirement, so each one had a real customer waiting on it.</w:t>
      </w:r>
    </w:p>
    <w:p>
      <w:pPr>
        <w:pStyle w:val="Heading2"/>
      </w:pPr>
      <w:r>
        <w:t xml:space="preserve">4. Story 1: Pixel-accurate forms without breaking customers (4 min)</w:t>
      </w:r>
    </w:p>
    <w:p>
      <w:pPr/>
      <w:r>
        <w:rPr>
          <w:b/>
        </w:rPr>
        <w:t xml:space="preserve">Problem.</w:t>
      </w:r>
      <w:r>
        <w:t xml:space="preserve"> The form widgets in Studio weren’t pixel-accurate. What a developer designed on the canvas wasn’t exactly what the end user saw. A team of four to five of us built version 2 of the core widgets to fix that.</w:t>
      </w:r>
    </w:p>
    <w:p>
      <w:pPr/>
      <w:r>
        <w:rPr>
          <w:b/>
        </w:rPr>
        <w:t xml:space="preserve">Why it was hard.</w:t>
      </w:r>
      <w:r>
        <w:t xml:space="preserve"> Fixing the layout was only half of it. Existing clients had trained their own staff to build forms in the old V1 style, and they didn’t want that consistency disturbed. So the real constraint was: give new clients exact layouts, and change nothing for old ones.</w:t>
      </w:r>
    </w:p>
    <w:p>
      <w:pPr/>
      <w:r>
        <w:rPr>
          <w:b/>
        </w:rPr>
        <w:t xml:space="preserve">What we decided.</w:t>
      </w:r>
    </w:p>
    <w:p>
      <w:pPr/>
      <w:r>
        <w:t xml:space="preserve">First, a layout model. Every widget stores its exact position and size in JSON, and the canvas itself is a separate object with its own size. On save, the complete JSON is converted to base64 and stored in the database.</w:t>
      </w:r>
    </w:p>
    <w:p>
      <w:pPr/>
      <w:r>
        <w:t xml:space="preserve">Second, two form types side by side. Every form carries a type flag, V1 or V2, and the system honours whichever it has. V1 forms are untouched. Clients who want V2 can opt in; clients who don’t simply stay where they are.</w:t>
      </w:r>
    </w:p>
    <w:p>
      <w:pPr/>
      <w:r>
        <w:t xml:space="preserve">Third, backward compatibility on the backend as well, not just the frontend. That meant database changes and queries that understood both types.</w:t>
      </w:r>
    </w:p>
    <w:p>
      <w:pPr/>
      <w:r>
        <w:rPr>
          <w:b/>
        </w:rPr>
        <w:t xml:space="preserve">How I work on any feature.</w:t>
      </w:r>
      <w:r>
        <w:t xml:space="preserve"> I take the feature, run a proof of concept, sketch it in Figma or, if time is short, straight in HTML. Then I define the API or the JSON structure, check the backend is compatible, and always test that existing workflows haven’t broken. [ADD: one real moment where this check caught a break.]</w:t>
      </w:r>
    </w:p>
    <w:p>
      <w:pPr/>
      <w:r>
        <w:rPr>
          <w:b/>
        </w:rPr>
        <w:t xml:space="preserve">Outcome.</w:t>
      </w:r>
      <w:r>
        <w:t xml:space="preserve"> V2 shipped without a single forced migration; clients moved when they chose to. [ADD: any measurable result, such as clients adopting V2 or fewer layout complaints.]</w:t>
      </w:r>
    </w:p>
    <w:p>
      <w:pPr>
        <w:pStyle w:val="Code"/>
      </w:pPr>
      <w:r>
        <w:t xml:space="preserve">Widget dropped on canvas</w:t>
        <w:br/>
        <w:t xml:space="preserve">        |</w:t>
        <w:br/>
        <w:t xml:space="preserve">        v</w:t>
        <w:br/>
        <w:t xml:space="preserve">JSON per widget (x, y, width, height)  +  Canvas object (size)</w:t>
        <w:br/>
        <w:t xml:space="preserve">        |</w:t>
        <w:br/>
        <w:t xml:space="preserve">        v</w:t>
        <w:br/>
        <w:t xml:space="preserve">Save -&gt; whole JSON -&gt; base64 -&gt; database</w:t>
        <w:br/>
        <w:t xml:space="preserve">        |</w:t>
        <w:br/>
        <w:t xml:space="preserve">        v</w:t>
        <w:br/>
        <w:t xml:space="preserve">   formType flag?</w:t>
        <w:br/>
        <w:t xml:space="preserve">   /           \</w:t>
        <w:br/>
        <w:t xml:space="preserve"> V1            V2</w:t>
        <w:br/>
        <w:t xml:space="preserve"> unchanged     exact-position render</w:t>
      </w:r>
    </w:p>
    <w:p>
      <w:pPr>
        <w:pStyle w:val="Heading2"/>
      </w:pPr>
      <w:r>
        <w:t xml:space="preserve">5. Story 2: An AI agent inside a rigid workflow (4.5 min)</w:t>
      </w:r>
    </w:p>
    <w:p>
      <w:pPr/>
      <w:r>
        <w:rPr>
          <w:b/>
        </w:rPr>
        <w:t xml:space="preserve">Problem.</w:t>
      </w:r>
      <w:r>
        <w:t xml:space="preserve"> A Camunda workflow is deterministic: form A always leads to form B. But some steps need judgement. Take a credit card application: after the applicant fills a form, the next screen should recommend which card suits them. How do you put an unpredictable AI step inside a predictable flow without breaking it?</w:t>
      </w:r>
    </w:p>
    <w:p>
      <w:pPr/>
      <w:r>
        <w:rPr>
          <w:b/>
        </w:rPr>
        <w:t xml:space="preserve">Why it was hard.</w:t>
      </w:r>
      <w:r>
        <w:t xml:space="preserve"> There were two traps. One was hard-coding rules, such as one set of cards for NRI users and another for residents. That works for a week, then every change needs a developer. The other was letting a model answer freely, which means inconsistent output the next form can’t read.</w:t>
      </w:r>
    </w:p>
    <w:p>
      <w:pPr/>
      <w:r>
        <w:rPr>
          <w:b/>
        </w:rPr>
        <w:t xml:space="preserve">What we decided.</w:t>
      </w:r>
      <w:r>
        <w:t xml:space="preserve"> Move the logic out of code and into configuration that an application developer controls. I built the AI agent settings page, where the developer does three things:</w:t>
      </w:r>
    </w:p>
    <w:p>
      <w:pPr>
        <w:pStyle w:val="ListParagraph"/>
        <w:numPr>
          <w:ilvl w:val="0"/>
          <w:numId w:val="2"/>
        </w:numPr>
      </w:pPr>
      <w:r>
        <w:t xml:space="preserve">Writes the prompt that tells the agent what to do.</w:t>
      </w:r>
    </w:p>
    <w:p>
      <w:pPr>
        <w:pStyle w:val="ListParagraph"/>
        <w:numPr>
          <w:ilvl w:val="0"/>
          <w:numId w:val="2"/>
        </w:numPr>
      </w:pPr>
      <w:r>
        <w:t xml:space="preserve">Attaches a knowledge base: crawled web links, documents or PDFs uploaded from the runtime. The agent answers only from what is linked to it, so it can’t invent credit cards that don’t exist.</w:t>
      </w:r>
    </w:p>
    <w:p>
      <w:pPr>
        <w:pStyle w:val="ListParagraph"/>
        <w:numPr>
          <w:ilvl w:val="0"/>
          <w:numId w:val="2"/>
        </w:numPr>
      </w:pPr>
      <w:r>
        <w:t xml:space="preserve">Defines the output format: plain text, or JSON. For JSON the developer lists each key with a description, and the agent returns exactly that shape.</w:t>
      </w:r>
    </w:p>
    <w:p>
      <w:pPr/>
      <w:r>
        <w:t xml:space="preserve">The agent’s output is stored in a bind variable, so the next form reads it like any other step. To the workflow, the AI is just another node. We also connected MCP servers through the Smithery registry so agents can use external tools.</w:t>
      </w:r>
    </w:p>
    <w:p>
      <w:pPr/>
      <w:r>
        <w:rPr>
          <w:b/>
        </w:rPr>
        <w:t xml:space="preserve">How the knowledge base works.</w:t>
      </w:r>
      <w:r>
        <w:t xml:space="preserve"> This is retrieval-augmented generation, or RAG. When a document is uploaded, it is split into small chunks, ideally at paragraph or sentence boundaries with a little overlap so no idea is cut in half. Each chunk is turned into an embedding, a list of numbers that captures its meaning, and stored in a vector database, which in our case was Pinecone. When the agent runs, the user’s input is embedded too, the closest chunks are retrieved, and they go to the LLM together with the prompt. That is why the answer comes from the company’s own content. [CONFIRM: that your team used LangChain’s text splitter, plus the chunk size and embedding model. Say clearly which parts you built (the agent configuration, output format and workflow integration) and which the backend team built (the RAG pipeline), unless you worked on it directly.]</w:t>
      </w:r>
    </w:p>
    <w:p>
      <w:pPr/>
      <w:r>
        <w:rPr>
          <w:b/>
        </w:rPr>
        <w:t xml:space="preserve">Outcome.</w:t>
      </w:r>
      <w:r>
        <w:t xml:space="preserve"> Application developers can now add a recommendation step with a prompt and a document, no code. [ADD: how many workflows or clients use it.]</w:t>
      </w:r>
    </w:p>
    <w:p>
      <w:pPr>
        <w:pStyle w:val="Code"/>
      </w:pPr>
      <w:r>
        <w:t xml:space="preserve">Form 1 (applicant details)</w:t>
        <w:br/>
        <w:t xml:space="preserve">        |</w:t>
        <w:br/>
        <w:t xml:space="preserve">        v</w:t>
        <w:br/>
        <w:t xml:space="preserve">+--------------- AI Agent step ----------------+</w:t>
        <w:br/>
        <w:t xml:space="preserve">|  Prompt  +  Knowledge base (RAG)             |</w:t>
        <w:br/>
        <w:t xml:space="preserve">|  Applicant input -&gt; embed -&gt; Pinecone         |</w:t>
        <w:br/>
        <w:t xml:space="preserve">|  closest chunks + prompt -&gt; LLM               |</w:t>
        <w:br/>
        <w:t xml:space="preserve">|  Output in defined format (text or JSON)      |</w:t>
        <w:br/>
        <w:t xml:space="preserve">+-----------------------+-----------------------+</w:t>
        <w:br/>
        <w:t xml:space="preserve">                        |</w:t>
        <w:br/>
        <w:t xml:space="preserve">                        v</w:t>
        <w:br/>
        <w:t xml:space="preserve">              bind variable (stored)</w:t>
        <w:br/>
        <w:t xml:space="preserve">                        |</w:t>
        <w:br/>
        <w:t xml:space="preserve">                        v</w:t>
        <w:br/>
        <w:t xml:space="preserve">         Form 2 (recommended credit cards)</w:t>
      </w:r>
    </w:p>
    <w:p>
      <w:pPr>
        <w:pStyle w:val="Heading2"/>
      </w:pPr>
      <w:r>
        <w:t xml:space="preserve">6. Story 3: First-ever SSO with a strict provider (2 min)</w:t>
      </w:r>
    </w:p>
    <w:p>
      <w:pPr/>
      <w:r>
        <w:rPr>
          <w:b/>
        </w:rPr>
        <w:t xml:space="preserve">Problem.</w:t>
      </w:r>
      <w:r>
        <w:t xml:space="preserve"> A client wanted single sign-on through CyberArk. The platform had never had SSO before, and I had to learn it from the provider’s documentation.</w:t>
      </w:r>
    </w:p>
    <w:p>
      <w:pPr/>
      <w:r>
        <w:rPr>
          <w:b/>
        </w:rPr>
        <w:t xml:space="preserve">Why it was hard.</w:t>
      </w:r>
      <w:r>
        <w:t xml:space="preserve"> I expected it to behave like Google sign-in, but it doesn’t. Google quietly ignores any extra parameters you send. CyberArk is strict: send one key-value pair it doesn’t expect and it returns an error. Copying the familiar pattern simply fails.</w:t>
      </w:r>
    </w:p>
    <w:p>
      <w:pPr/>
      <w:r>
        <w:rPr>
          <w:b/>
        </w:rPr>
        <w:t xml:space="preserve">What I decided.</w:t>
      </w:r>
      <w:r>
        <w:t xml:space="preserve"> I wrote a Golang service called the IDP provider that wraps each identity provider, so each provider’s quirks stay inside it and the rest of the platform doesn’t care which one is in use. And I made it configurable: any client can switch SSO on in the configuration and fill in a form, with secrets supplied from their cloud setup. There is no code change per client. [CONFIRM: how the secrets are stored and fetched, and how the provider user maps to a runtime user and role.]</w:t>
      </w:r>
    </w:p>
    <w:p>
      <w:pPr/>
      <w:r>
        <w:rPr>
          <w:b/>
        </w:rPr>
        <w:t xml:space="preserve">Outcome.</w:t>
      </w:r>
      <w:r>
        <w:t xml:space="preserve"> The first SSO on the platform, reusable for the next provider. [ADD: how you would add a third provider, for example one adapter per provider behind the same interface.]</w:t>
      </w:r>
    </w:p>
    <w:p>
      <w:pPr>
        <w:pStyle w:val="Code"/>
      </w:pPr>
      <w:r>
        <w:t xml:space="preserve">Client turns SSO on -&gt; fills config form (secrets from cloud)</w:t>
        <w:br/>
        <w:t xml:space="preserve">        |</w:t>
        <w:br/>
        <w:t xml:space="preserve">        v</w:t>
        <w:br/>
        <w:t xml:space="preserve">   Golang IDP provider service</w:t>
        <w:br/>
        <w:t xml:space="preserve">   /            |             \</w:t>
        <w:br/>
        <w:t xml:space="preserve">Google      CyberArk       next provider</w:t>
        <w:br/>
        <w:t xml:space="preserve">(lenient)   (strict: exact   (new adapter,</w:t>
        <w:br/>
        <w:t xml:space="preserve">            params only)     same interface)</w:t>
        <w:br/>
        <w:t xml:space="preserve">        |</w:t>
        <w:br/>
        <w:t xml:space="preserve">        v</w:t>
        <w:br/>
        <w:t xml:space="preserve">   User signed in to Runtime</w:t>
      </w:r>
    </w:p>
    <w:p>
      <w:pPr>
        <w:pStyle w:val="Heading2"/>
      </w:pPr>
      <w:r>
        <w:t xml:space="preserve">7. Story 4: Video KYC on WebRTC (2 min)</w:t>
      </w:r>
    </w:p>
    <w:p>
      <w:pPr/>
      <w:r>
        <w:rPr>
          <w:b/>
        </w:rPr>
        <w:t xml:space="preserve">Problem.</w:t>
      </w:r>
      <w:r>
        <w:t xml:space="preserve"> A client needed video KYC inside the platform, where an agent talks to a customer on video and verifies them. It was my first time with WebRTC, so I used LiveKit, an open-source platform for real-time audio and video.</w:t>
      </w:r>
    </w:p>
    <w:p>
      <w:pPr/>
      <w:r>
        <w:rPr>
          <w:b/>
        </w:rPr>
        <w:t xml:space="preserve">Why it was hard.</w:t>
      </w:r>
      <w:r>
        <w:t xml:space="preserve"> A plain video call wasn’t enough. Recording had to start automatically the moment the customer connected, with no record button. The agent also needed to take snapshots mid-call for liveness checks, such as show your left hand, turn right, and flip or invert the camera when needed.</w:t>
      </w:r>
    </w:p>
    <w:p>
      <w:pPr/>
      <w:r>
        <w:t xml:space="preserve">The subtle problem was the snapshot itself. It could come back as base64, but I couldn’t pass that onward because it was far too large, so it had to be a cloud URL. Then there was a second catch: the platform used signed and unsigned URLs. If the application used signed URLs, I had to call the right API to return a signed one, or the image wouldn’t open outside the runtime.</w:t>
      </w:r>
    </w:p>
    <w:p>
      <w:pPr/>
      <w:r>
        <w:rPr>
          <w:b/>
        </w:rPr>
        <w:t xml:space="preserve">What I decided.</w:t>
      </w:r>
      <w:r>
        <w:t xml:space="preserve"> Respect the platform’s own rules: store each snapshot in the cloud, return the correct kind of URL, and save it into a bind variable the workflow can use. That took real product knowledge, not just WebRTC knowledge.</w:t>
      </w:r>
    </w:p>
    <w:p>
      <w:pPr/>
      <w:r>
        <w:rPr>
          <w:b/>
        </w:rPr>
        <w:t xml:space="preserve">Outcome.</w:t>
      </w:r>
      <w:r>
        <w:t xml:space="preserve"> Video KYC working end to end inside a workflow. [ADD: client or use case it shipped for.]</w:t>
      </w:r>
    </w:p>
    <w:p>
      <w:pPr>
        <w:pStyle w:val="Code"/>
      </w:pPr>
      <w:r>
        <w:t xml:space="preserve">Customer connects -&gt; recording starts automatically</w:t>
        <w:br/>
        <w:t xml:space="preserve">        |</w:t>
        <w:br/>
        <w:t xml:space="preserve">        v</w:t>
        <w:br/>
        <w:t xml:space="preserve">Agent requests snapshot (liveness check)</w:t>
        <w:br/>
        <w:t xml:space="preserve">        |</w:t>
        <w:br/>
        <w:t xml:space="preserve">        v</w:t>
        <w:br/>
        <w:t xml:space="preserve">Image -&gt; cloud storage -&gt; signed or unsigned URL?</w:t>
        <w:br/>
        <w:t xml:space="preserve">        |                          |</w:t>
        <w:br/>
        <w:t xml:space="preserve">        |                call the right API</w:t>
        <w:br/>
        <w:t xml:space="preserve">        v                          v</w:t>
        <w:br/>
        <w:t xml:space="preserve">   URL saved in bind variable -&gt; next workflow step</w:t>
      </w:r>
    </w:p>
    <w:p>
      <w:pPr>
        <w:pStyle w:val="Heading2"/>
      </w:pPr>
      <w:r>
        <w:t xml:space="preserve">8. Templates and close (1 min)</w:t>
      </w:r>
    </w:p>
    <w:p>
      <w:pPr/>
      <w:r>
        <w:t xml:space="preserve">One last quick one, because it shows how I work. I proposed a templates feature in Studio, ran the proof of concept, designed it and shipped it. A template is a JSON file in the frontend, and the catch is that dropping the same template twice creates duplicate widget IDs. I keep a list of the IDs used in each template, and on every drag and drop I suffix any matching ID with a random string, so each instance stays unique. It’s a simple approach, and next I’d generate IDs automatically by walking the JSON. The application team ended up using templates every day, and I kept adding new ones each release based on their feedback.</w:t>
      </w:r>
    </w:p>
    <w:p>
      <w:pPr/>
      <w:r>
        <w:t xml:space="preserve">So across all of these, the pattern is the same: understand who is affected, protect what already works, and make the new thing configurable instead of hard-coded. That’s how I’d like to work on your team. Thank you, I’d love to take your questions.</w:t>
      </w:r>
    </w:p>
    <w:p>
      <w:pPr>
        <w:pStyle w:val="Heading2"/>
      </w:pPr>
      <w:r>
        <w:t xml:space="preserve">Likely follow-up questions</w:t>
      </w:r>
    </w:p>
    <w:p>
      <w:pPr>
        <w:pStyle w:val="ListParagraph"/>
        <w:numPr>
          <w:ilvl w:val="0"/>
          <w:numId w:val="3"/>
        </w:numPr>
      </w:pPr>
      <w:r>
        <w:rPr>
          <w:b/>
        </w:rPr>
        <w:t xml:space="preserve">Why not just break V1?</w:t>
      </w:r>
      <w:r>
        <w:t xml:space="preserve"> Clients had trained their own staff on it. Forcing a change would have cost them more than the feature gained them.</w:t>
      </w:r>
    </w:p>
    <w:p>
      <w:pPr>
        <w:pStyle w:val="ListParagraph"/>
        <w:numPr>
          <w:ilvl w:val="0"/>
          <w:numId w:val="3"/>
        </w:numPr>
      </w:pPr>
      <w:r>
        <w:rPr>
          <w:b/>
        </w:rPr>
        <w:t xml:space="preserve">How do you stop the agent returning the wrong format?</w:t>
      </w:r>
      <w:r>
        <w:t xml:space="preserve"> The output format is defined in the settings page and stored in a bind variable. [ADD: whether the response is validated before it moves on.]</w:t>
      </w:r>
    </w:p>
    <w:p>
      <w:pPr>
        <w:pStyle w:val="ListParagraph"/>
        <w:numPr>
          <w:ilvl w:val="0"/>
          <w:numId w:val="3"/>
        </w:numPr>
      </w:pPr>
      <w:r>
        <w:rPr>
          <w:b/>
        </w:rPr>
        <w:t xml:space="preserve">What is RAG and why use it?</w:t>
      </w:r>
      <w:r>
        <w:t xml:space="preserve"> The model answers from retrieved company content instead of memory, which keeps answers grounded and current.</w:t>
      </w:r>
    </w:p>
    <w:p>
      <w:pPr>
        <w:pStyle w:val="ListParagraph"/>
        <w:numPr>
          <w:ilvl w:val="0"/>
          <w:numId w:val="3"/>
        </w:numPr>
      </w:pPr>
      <w:r>
        <w:rPr>
          <w:b/>
        </w:rPr>
        <w:t xml:space="preserve">What would you do differently with the templates?</w:t>
      </w:r>
      <w:r>
        <w:t xml:space="preserve"> Generate unique IDs automatically instead of maintaining a list of 30 to 40 strings.</w:t>
      </w:r>
    </w:p>
    <w:p>
      <w:pPr>
        <w:pStyle w:val="ListParagraph"/>
        <w:numPr>
          <w:ilvl w:val="0"/>
          <w:numId w:val="3"/>
        </w:numPr>
      </w:pPr>
      <w:r>
        <w:rPr>
          <w:b/>
        </w:rPr>
        <w:t xml:space="preserve">What is your strongest area?</w:t>
      </w:r>
      <w:r>
        <w:t xml:space="preserve"> Taking a vague client requirement to a working, backward-compatible feature across frontend and backend.</w:t>
      </w:r>
    </w:p>
    <w:p>
      <w:pPr>
        <w:pStyle w:val="Heading2"/>
      </w:pPr>
      <w:r>
        <w:t xml:space="preserve">To confirm before the interview</w:t>
      </w:r>
    </w:p>
    <w:p>
      <w:pPr>
        <w:pStyle w:val="ListParagraph"/>
        <w:numPr>
          <w:ilvl w:val="0"/>
          <w:numId w:val="4"/>
        </w:numPr>
      </w:pPr>
      <w:r>
        <w:t xml:space="preserve">Your exact role in the RAG pipeline, and what your team used for splitting and embedding.</w:t>
      </w:r>
    </w:p>
    <w:p>
      <w:pPr>
        <w:pStyle w:val="ListParagraph"/>
        <w:numPr>
          <w:ilvl w:val="0"/>
          <w:numId w:val="4"/>
        </w:numPr>
      </w:pPr>
      <w:r>
        <w:t xml:space="preserve">A Next.js project or feature you can name. The role asks for it, and the script has no Next.js story yet.</w:t>
      </w:r>
    </w:p>
    <w:p>
      <w:pPr>
        <w:pStyle w:val="ListParagraph"/>
        <w:numPr>
          <w:ilvl w:val="0"/>
          <w:numId w:val="4"/>
        </w:numPr>
      </w:pPr>
      <w:r>
        <w:t xml:space="preserve">Any outcome or number for each story. Interviewers remember numbers.</w:t>
      </w:r>
    </w:p>
    <w:p>
      <w:pPr>
        <w:pStyle w:val="ListParagraph"/>
        <w:numPr>
          <w:ilvl w:val="0"/>
          <w:numId w:val="4"/>
        </w:numPr>
      </w:pPr>
      <w:r>
        <w:t xml:space="preserve">Whether the 70% load improvement belongs to the mutual fund platform.</w:t>
      </w:r>
    </w:p>
    <w:p>
      <w:pPr>
        <w:pStyle w:val="ListParagraph"/>
        <w:numPr>
          <w:ilvl w:val="0"/>
          <w:numId w:val="4"/>
        </w:numPr>
      </w:pPr>
      <w:r>
        <w:t xml:space="preserve">CV tidy-up: the nDots entry repeats the freelance dashboard and bundle-size bullets, one Redis bullet appears twice, the graduate project showcase work isn’t listed, and the Codingal start date (July 2026) should be checked against your Autonom8 end date (Nov 2025).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Interview Presentation Script Kavya Ashwath</dc:title>
  <dc:description>Claude Docs node/ea45304a-7e42@11 docx-w7</dc:description>
  <cp:revision>11</cp:revision>
</cp:coreProperties>
</file>