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Literature Review: Intonational Contours in Code-Switching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Info pulled from NSF Small Proposal written by Debasmita: </w:t>
      </w:r>
      <w:hyperlink r:id="rId6">
        <w:r w:rsidDel="00000000" w:rsidR="00000000" w:rsidRPr="00000000">
          <w:rPr>
            <w:color w:val="0000ee"/>
            <w:u w:val="single"/>
            <w:rtl w:val="0"/>
          </w:rPr>
          <w:t xml:space="preserve">description23.docx</w:t>
        </w:r>
      </w:hyperlink>
      <w:r w:rsidDel="00000000" w:rsidR="00000000" w:rsidRPr="00000000">
        <w:rPr>
          <w:rtl w:val="0"/>
        </w:rPr>
      </w:r>
    </w:p>
    <w:p w:rsidR="00000000" w:rsidDel="00000000" w:rsidP="00000000" w:rsidRDefault="00000000" w:rsidRPr="00000000" w14:paraId="00000004">
      <w:pPr>
        <w:pStyle w:val="Heading4"/>
        <w:spacing w:line="276" w:lineRule="auto"/>
        <w:jc w:val="both"/>
        <w:rPr/>
      </w:pPr>
      <w:bookmarkStart w:colFirst="0" w:colLast="0" w:name="_1t3h5sf" w:id="0"/>
      <w:bookmarkEnd w:id="0"/>
      <w:r w:rsidDel="00000000" w:rsidR="00000000" w:rsidRPr="00000000">
        <w:rPr>
          <w:rtl w:val="0"/>
        </w:rPr>
        <w:t xml:space="preserve">1.7   Prosodic variation in speech</w:t>
      </w:r>
    </w:p>
    <w:p w:rsidR="00000000" w:rsidDel="00000000" w:rsidP="00000000" w:rsidRDefault="00000000" w:rsidRPr="00000000" w14:paraId="000000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"Variation in </w:t>
      </w:r>
      <w:r w:rsidDel="00000000" w:rsidR="00000000" w:rsidRPr="00000000">
        <w:rPr>
          <w:rFonts w:ascii="Times New Roman" w:cs="Times New Roman" w:eastAsia="Times New Roman" w:hAnsi="Times New Roman"/>
          <w:i w:val="1"/>
          <w:rtl w:val="0"/>
        </w:rPr>
        <w:t xml:space="preserve">prosody</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rtl w:val="0"/>
        </w:rPr>
        <w:t xml:space="preserve">intonation</w:t>
      </w:r>
      <w:r w:rsidDel="00000000" w:rsidR="00000000" w:rsidRPr="00000000">
        <w:rPr>
          <w:rFonts w:ascii="Times New Roman" w:cs="Times New Roman" w:eastAsia="Times New Roman" w:hAnsi="Times New Roman"/>
          <w:rtl w:val="0"/>
        </w:rPr>
        <w:t xml:space="preserve">, of speech is essential for interpreting linguistic phenomena in many languages [27]. Several conventions have been developed to model prosodic variation in speech, among which </w:t>
      </w:r>
      <w:r w:rsidDel="00000000" w:rsidR="00000000" w:rsidRPr="00000000">
        <w:rPr>
          <w:rFonts w:ascii="Times New Roman" w:cs="Times New Roman" w:eastAsia="Times New Roman" w:hAnsi="Times New Roman"/>
          <w:highlight w:val="yellow"/>
          <w:rtl w:val="0"/>
        </w:rPr>
        <w:t xml:space="preserve">ToBI conventions</w:t>
      </w:r>
      <w:r w:rsidDel="00000000" w:rsidR="00000000" w:rsidRPr="00000000">
        <w:rPr>
          <w:rFonts w:ascii="Times New Roman" w:cs="Times New Roman" w:eastAsia="Times New Roman" w:hAnsi="Times New Roman"/>
          <w:rtl w:val="0"/>
        </w:rPr>
        <w:t xml:space="preserve">, which have been identified for many languages, are most often used in spoken language processing tasks [5] and can be identified automatically using the </w:t>
      </w:r>
      <w:r w:rsidDel="00000000" w:rsidR="00000000" w:rsidRPr="00000000">
        <w:rPr>
          <w:rFonts w:ascii="Times New Roman" w:cs="Times New Roman" w:eastAsia="Times New Roman" w:hAnsi="Times New Roman"/>
          <w:i w:val="1"/>
          <w:shd w:fill="ff9900" w:val="clear"/>
          <w:rtl w:val="0"/>
        </w:rPr>
        <w:t xml:space="preserve">AuToBI </w:t>
      </w:r>
      <w:r w:rsidDel="00000000" w:rsidR="00000000" w:rsidRPr="00000000">
        <w:rPr>
          <w:rFonts w:ascii="Times New Roman" w:cs="Times New Roman" w:eastAsia="Times New Roman" w:hAnsi="Times New Roman"/>
          <w:shd w:fill="ff9900" w:val="clear"/>
          <w:rtl w:val="0"/>
        </w:rPr>
        <w:t xml:space="preserve">system </w:t>
      </w:r>
      <w:r w:rsidDel="00000000" w:rsidR="00000000" w:rsidRPr="00000000">
        <w:rPr>
          <w:rFonts w:ascii="Times New Roman" w:cs="Times New Roman" w:eastAsia="Times New Roman" w:hAnsi="Times New Roman"/>
          <w:rtl w:val="0"/>
        </w:rPr>
        <w:t xml:space="preserve">[45]. </w:t>
      </w:r>
      <w:r w:rsidDel="00000000" w:rsidR="00000000" w:rsidRPr="00000000">
        <w:rPr>
          <w:rFonts w:ascii="Times New Roman" w:cs="Times New Roman" w:eastAsia="Times New Roman" w:hAnsi="Times New Roman"/>
          <w:highlight w:val="yellow"/>
          <w:rtl w:val="0"/>
        </w:rPr>
        <w:t xml:space="preserve">Though ToBI annotations can be produced on utterances across multiple languages, these have yet to be used to model code-switched speech</w:t>
      </w:r>
      <w:r w:rsidDel="00000000" w:rsidR="00000000" w:rsidRPr="00000000">
        <w:rPr>
          <w:rFonts w:ascii="Times New Roman" w:cs="Times New Roman" w:eastAsia="Times New Roman" w:hAnsi="Times New Roman"/>
          <w:rtl w:val="0"/>
        </w:rPr>
        <w:t xml:space="preserve">. Our work will be the first to </w:t>
      </w:r>
      <w:r w:rsidDel="00000000" w:rsidR="00000000" w:rsidRPr="00000000">
        <w:rPr>
          <w:rFonts w:ascii="Times New Roman" w:cs="Times New Roman" w:eastAsia="Times New Roman" w:hAnsi="Times New Roman"/>
          <w:highlight w:val="yellow"/>
          <w:rtl w:val="0"/>
        </w:rPr>
        <w:t xml:space="preserve">identify ToBI conventions on code-switched speech and attempt to answer the following questions: How do bilingual speakers produce intonational contours when they are performing CSW? In particular, does their intonation production match either of the languages they are producing or is it different from both?</w:t>
      </w:r>
      <w:r w:rsidDel="00000000" w:rsidR="00000000" w:rsidRPr="00000000">
        <w:rPr>
          <w:rFonts w:ascii="Times New Roman" w:cs="Times New Roman" w:eastAsia="Times New Roman" w:hAnsi="Times New Roman"/>
          <w:rtl w:val="0"/>
        </w:rPr>
        <w:t xml:space="preserve"> Answering these questions will allow us to identify, analyze, and produce CSW more naturally."</w:t>
      </w:r>
    </w:p>
    <w:p w:rsidR="00000000" w:rsidDel="00000000" w:rsidP="00000000" w:rsidRDefault="00000000" w:rsidRPr="00000000" w14:paraId="0000000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showed that, for a single speaker, intonational patterns different from both languages were used when performing CSW; however, they were not able to identify more specific information about the code-switched contours and how different aspects related to each language."</w:t>
      </w:r>
    </w:p>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Page Piccinini and Mark Garellek. 2014. Prosodic Cues to Monolingual versus Code-switching Sentences in English and Spanish. In </w:t>
      </w:r>
      <w:r w:rsidDel="00000000" w:rsidR="00000000" w:rsidRPr="00000000">
        <w:rPr>
          <w:rFonts w:ascii="Times New Roman" w:cs="Times New Roman" w:eastAsia="Times New Roman" w:hAnsi="Times New Roman"/>
          <w:i w:val="1"/>
          <w:rtl w:val="0"/>
        </w:rPr>
        <w:t xml:space="preserve">Proceedings of the International Conference on Speech Prosody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has been no work done on the use of specific intonational patterns in code-switched conversation"</w:t>
      </w:r>
    </w:p>
    <w:p w:rsidR="00000000" w:rsidDel="00000000" w:rsidP="00000000" w:rsidRDefault="00000000" w:rsidRPr="00000000" w14:paraId="0000000C">
      <w:pPr>
        <w:pStyle w:val="Heading4"/>
        <w:spacing w:line="276" w:lineRule="auto"/>
        <w:jc w:val="both"/>
        <w:rPr/>
      </w:pPr>
      <w:bookmarkStart w:colFirst="0" w:colLast="0" w:name="_2jxsxqh" w:id="1"/>
      <w:bookmarkEnd w:id="1"/>
      <w:r w:rsidDel="00000000" w:rsidR="00000000" w:rsidRPr="00000000">
        <w:rPr>
          <w:rtl w:val="0"/>
        </w:rPr>
        <w:t xml:space="preserve">4.4  Measuring intonational contours of code-switched speech</w:t>
      </w:r>
    </w:p>
    <w:p w:rsidR="00000000" w:rsidDel="00000000" w:rsidP="00000000" w:rsidRDefault="00000000" w:rsidRPr="00000000" w14:paraId="000000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plan to identify whether bilinguals use the </w:t>
      </w:r>
      <w:r w:rsidDel="00000000" w:rsidR="00000000" w:rsidRPr="00000000">
        <w:rPr>
          <w:rFonts w:ascii="Times New Roman" w:cs="Times New Roman" w:eastAsia="Times New Roman" w:hAnsi="Times New Roman"/>
          <w:i w:val="1"/>
          <w:rtl w:val="0"/>
        </w:rPr>
        <w:t xml:space="preserve">prosodic patterns</w:t>
      </w:r>
      <w:r w:rsidDel="00000000" w:rsidR="00000000" w:rsidRPr="00000000">
        <w:rPr>
          <w:rFonts w:ascii="Times New Roman" w:cs="Times New Roman" w:eastAsia="Times New Roman" w:hAnsi="Times New Roman"/>
          <w:rtl w:val="0"/>
        </w:rPr>
        <w:t xml:space="preserve"> of either language, both languages, or neither language, during CSW. </w:t>
      </w:r>
      <w:r w:rsidDel="00000000" w:rsidR="00000000" w:rsidRPr="00000000">
        <w:rPr>
          <w:rFonts w:ascii="Times New Roman" w:cs="Times New Roman" w:eastAsia="Times New Roman" w:hAnsi="Times New Roman"/>
          <w:highlight w:val="yellow"/>
          <w:rtl w:val="0"/>
        </w:rPr>
        <w:t xml:space="preserve">We will use ToBI features [5] and associated AuToBI models [45] to extract intonational contours from  the acoustic-prosodic features of the Bangor Miami corpus [19], the SEAME corpus [34], and the </w:t>
      </w:r>
      <w:r w:rsidDel="00000000" w:rsidR="00000000" w:rsidRPr="00000000">
        <w:rPr>
          <w:rFonts w:ascii="Times New Roman" w:cs="Times New Roman" w:eastAsia="Times New Roman" w:hAnsi="Times New Roman"/>
          <w:sz w:val="23"/>
          <w:szCs w:val="23"/>
          <w:highlight w:val="yellow"/>
          <w:rtl w:val="0"/>
        </w:rPr>
        <w:t xml:space="preserve">MUCS-Hindi corpus [20]</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We will then perform statistical analysis to compare these contours to those present in monolingual speech in each of these corpora.</w:t>
      </w:r>
      <w:r w:rsidDel="00000000" w:rsidR="00000000" w:rsidRPr="00000000">
        <w:rPr>
          <w:rFonts w:ascii="Times New Roman" w:cs="Times New Roman" w:eastAsia="Times New Roman" w:hAnsi="Times New Roman"/>
          <w:rtl w:val="0"/>
        </w:rPr>
        <w:t xml:space="preserve">  Our results will be useful not only as features to identify CSW in these languages in machine learning approaches, but also to produce code-switched language in responses to CSW speakers.  A major question to explore will be to compare intonational patterns in code-switched language in these corpora with intonational patterns in their speakers’ monolingual utterances, </w:t>
      </w:r>
      <w:r w:rsidDel="00000000" w:rsidR="00000000" w:rsidRPr="00000000">
        <w:rPr>
          <w:rFonts w:ascii="Times New Roman" w:cs="Times New Roman" w:eastAsia="Times New Roman" w:hAnsi="Times New Roman"/>
          <w:highlight w:val="yellow"/>
          <w:rtl w:val="0"/>
        </w:rPr>
        <w:t xml:space="preserve">in order to identify whether speakers use monolingual patterns or a new CSW ToBI pattern, and to see whether these results are similar across speakers and languages. </w:t>
      </w:r>
      <w:r w:rsidDel="00000000" w:rsidR="00000000" w:rsidRPr="00000000">
        <w:rPr>
          <w:rFonts w:ascii="Times New Roman" w:cs="Times New Roman" w:eastAsia="Times New Roman" w:hAnsi="Times New Roman"/>
          <w:rtl w:val="0"/>
        </w:rPr>
        <w:t xml:space="preserve">Following the extraction of intonation patterns from each of these corpora, w</w:t>
      </w:r>
      <w:r w:rsidDel="00000000" w:rsidR="00000000" w:rsidRPr="00000000">
        <w:rPr>
          <w:rFonts w:ascii="Times New Roman" w:cs="Times New Roman" w:eastAsia="Times New Roman" w:hAnsi="Times New Roman"/>
          <w:highlight w:val="yellow"/>
          <w:rtl w:val="0"/>
        </w:rPr>
        <w:t xml:space="preserve">e will also make this new prosodically labeled data publicly available.</w:t>
      </w:r>
      <w:r w:rsidDel="00000000" w:rsidR="00000000" w:rsidRPr="00000000">
        <w:rPr>
          <w:rFonts w:ascii="Times New Roman" w:cs="Times New Roman" w:eastAsia="Times New Roman" w:hAnsi="Times New Roman"/>
          <w:rtl w:val="0"/>
        </w:rPr>
        <w:t xml:space="preserve"> Our ultimate goals for applying the results we produce in this part of our work are twofold. The first is to</w:t>
      </w:r>
      <w:r w:rsidDel="00000000" w:rsidR="00000000" w:rsidRPr="00000000">
        <w:rPr>
          <w:rFonts w:ascii="Times New Roman" w:cs="Times New Roman" w:eastAsia="Times New Roman" w:hAnsi="Times New Roman"/>
          <w:highlight w:val="yellow"/>
          <w:rtl w:val="0"/>
        </w:rPr>
        <w:t xml:space="preserve"> deploy our findings towards augmenting the performance of the existing machine learning task of automatic speech recognition in multilingual and code-switched contexts. </w:t>
      </w:r>
      <w:r w:rsidDel="00000000" w:rsidR="00000000" w:rsidRPr="00000000">
        <w:rPr>
          <w:rFonts w:ascii="Times New Roman" w:cs="Times New Roman" w:eastAsia="Times New Roman" w:hAnsi="Times New Roman"/>
          <w:rtl w:val="0"/>
        </w:rPr>
        <w:t xml:space="preserve">The second, similar to our goals for entrainment and empathy in code-switched settings, is to </w:t>
      </w:r>
      <w:r w:rsidDel="00000000" w:rsidR="00000000" w:rsidRPr="00000000">
        <w:rPr>
          <w:rFonts w:ascii="Times New Roman" w:cs="Times New Roman" w:eastAsia="Times New Roman" w:hAnsi="Times New Roman"/>
          <w:highlight w:val="yellow"/>
          <w:rtl w:val="0"/>
        </w:rPr>
        <w:t xml:space="preserve">train machine learning models that generate realistic and natural spoken code-switched output with the appropriate intonational contours</w:t>
      </w:r>
      <w:r w:rsidDel="00000000" w:rsidR="00000000" w:rsidRPr="00000000">
        <w:rPr>
          <w:rFonts w:ascii="Times New Roman" w:cs="Times New Roman" w:eastAsia="Times New Roman" w:hAnsi="Times New Roman"/>
          <w:rtl w:val="0"/>
        </w:rPr>
        <w:t xml:space="preserve">, given a human code-switched input utterance."</w:t>
      </w:r>
    </w:p>
    <w:p w:rsidR="00000000" w:rsidDel="00000000" w:rsidP="00000000" w:rsidRDefault="00000000" w:rsidRPr="00000000" w14:paraId="0000000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Additional Literature Review:</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Birkner, K. (2004). List intonation of German and Portuguese bilinguals in south Brazil. In P. Giles &amp; J. Peters (Eds), Regional variation in intonation (pp. 121–144). Tübingen, Germany: Niemeyer.</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Languages: Brazilian Portuguese and Hunsrückisch German</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Data was collected during informal interviews with </w:t>
      </w:r>
      <w:r w:rsidDel="00000000" w:rsidR="00000000" w:rsidRPr="00000000">
        <w:rPr>
          <w:b w:val="1"/>
          <w:rtl w:val="0"/>
        </w:rPr>
        <w:t xml:space="preserve">(only)</w:t>
      </w:r>
      <w:r w:rsidDel="00000000" w:rsidR="00000000" w:rsidRPr="00000000">
        <w:rPr>
          <w:rtl w:val="0"/>
        </w:rPr>
        <w:t xml:space="preserve"> </w:t>
      </w:r>
      <w:r w:rsidDel="00000000" w:rsidR="00000000" w:rsidRPr="00000000">
        <w:rPr>
          <w:b w:val="1"/>
          <w:rtl w:val="0"/>
        </w:rPr>
        <w:t xml:space="preserve">3</w:t>
      </w:r>
      <w:r w:rsidDel="00000000" w:rsidR="00000000" w:rsidRPr="00000000">
        <w:rPr>
          <w:rtl w:val="0"/>
        </w:rPr>
        <w:t xml:space="preserve"> bilinguals &gt; The author then isolated examples of </w:t>
      </w:r>
      <w:r w:rsidDel="00000000" w:rsidR="00000000" w:rsidRPr="00000000">
        <w:rPr>
          <w:b w:val="1"/>
          <w:rtl w:val="0"/>
        </w:rPr>
        <w:t xml:space="preserve">lists</w:t>
      </w:r>
      <w:r w:rsidDel="00000000" w:rsidR="00000000" w:rsidRPr="00000000">
        <w:rPr>
          <w:rtl w:val="0"/>
        </w:rPr>
        <w:t xml:space="preserve"> from this spontaneous speech</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2 of 3 interviewees use Portuguese intonational contours when producing mixed language lists (142)</w:t>
      </w:r>
      <w:r w:rsidDel="00000000" w:rsidR="00000000" w:rsidRPr="00000000">
        <w:rPr>
          <w:rtl w:val="0"/>
        </w:rPr>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"switched tokens were produced with the intonation contours of the immediately preceding language." (paraphrase from Olson 2016, p. 455)</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"Highly proficient bilingual speakers in South Brazil tend to keep apart their intonational repertoires when they are in a 'one-language-mode.' In a 'mixing mode' the situation differs. Intonation contours tend to merge just as the lexico-grammatical and phonetic levels do."</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Method for analyzing intonational contours: manual analysis in Praat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Li, K. K., Nguyen, L., Bryant, C., &amp; Yoo, K. (2023). </w:t>
      </w:r>
      <w:r w:rsidDel="00000000" w:rsidR="00000000" w:rsidRPr="00000000">
        <w:rPr>
          <w:rtl w:val="0"/>
        </w:rPr>
        <w:t xml:space="preserve">Lexical tonal</w:t>
      </w:r>
      <w:r w:rsidDel="00000000" w:rsidR="00000000" w:rsidRPr="00000000">
        <w:rPr>
          <w:rtl w:val="0"/>
        </w:rPr>
        <w:t xml:space="preserve"> effects in code-switching: A comparative study of Cantonese, Mandarin, and Vietnamese switching with English. </w:t>
      </w:r>
      <w:r w:rsidDel="00000000" w:rsidR="00000000" w:rsidRPr="00000000">
        <w:rPr>
          <w:i w:val="1"/>
          <w:rtl w:val="0"/>
        </w:rPr>
        <w:t xml:space="preserve">International Journal of Bilingualism</w:t>
      </w:r>
      <w:r w:rsidDel="00000000" w:rsidR="00000000" w:rsidRPr="00000000">
        <w:rPr>
          <w:rtl w:val="0"/>
        </w:rPr>
        <w:t xml:space="preserve">, 13670069231181508.</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Examines Cantonese-English (HLVC), Mandarin-English (SEAME), and Vietnamese-English (CanVEC) code-switching in natural speech: each pair contains a tonal and a non-tonal language (English)</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“examine whether lexical tonal categories influence the probability of a token becoming a switch point, either to English or from English”</w:t>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"In the Vietnamese/English bilingual community, for example, [Clyne] pointed out that more than 85% of switches to English occurred immediately after a Vietnamese word of a mid-to-high pitch tone (Tuc, 2003). According to Clyne, these are the tones that Vietnamese are most likely to associate with English pitch and stress . . . </w:t>
      </w:r>
      <w:r w:rsidDel="00000000" w:rsidR="00000000" w:rsidRPr="00000000">
        <w:rPr>
          <w:highlight w:val="yellow"/>
          <w:rtl w:val="0"/>
        </w:rPr>
        <w:t xml:space="preserve">Words with these tones take speakers into an overlapping tonal zone between the two languages, thereby facilitating a switch</w:t>
      </w:r>
      <w:r w:rsidDel="00000000" w:rsidR="00000000" w:rsidRPr="00000000">
        <w:rPr>
          <w:rtl w:val="0"/>
        </w:rPr>
        <w:t xml:space="preserve">" (7)</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"Similarly, most switches (96.49%, </w:t>
      </w:r>
      <w:r w:rsidDel="00000000" w:rsidR="00000000" w:rsidRPr="00000000">
        <w:rPr>
          <w:i w:val="1"/>
          <w:rtl w:val="0"/>
        </w:rPr>
        <w:t xml:space="preserve">N</w:t>
      </w:r>
      <w:r w:rsidDel="00000000" w:rsidR="00000000" w:rsidRPr="00000000">
        <w:rPr>
          <w:rtl w:val="0"/>
        </w:rPr>
        <w:t xml:space="preserve"> not available) from Mandarin to English were also found to correlate with falling tones, which correspond to English intonation (Zheng, 1997)" (7)</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Li et al. find that the most common tone at a switch point from  . . .</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 . . Cantonese into English AND English into Cantonese is T3</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 . . Mandarin into English is T4</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 . . English into Mandarin is T3</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 . . Vietnamese into English AND English into Vietnamese is T5</w:t>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page 12</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Methodology: Tonal categories are identified from the romanization of the transcribed speech. In some cases the orthography (presumably in Chinese characters) therefore had to first be converted to a romanized orthography.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Olson, D. J. (2016). The impact of code-switching, language context, and language dominance on suprasegmental phonetics: Evidence for the role of predictability. </w:t>
      </w:r>
      <w:r w:rsidDel="00000000" w:rsidR="00000000" w:rsidRPr="00000000">
        <w:rPr>
          <w:i w:val="1"/>
          <w:rtl w:val="0"/>
        </w:rPr>
        <w:t xml:space="preserve">International Journal of Bilingualism</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(4), 453-472.</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In Spanish-English bilinguals, </w:t>
      </w:r>
      <w:r w:rsidDel="00000000" w:rsidR="00000000" w:rsidRPr="00000000">
        <w:rPr>
          <w:rtl w:val="0"/>
        </w:rPr>
        <w:t xml:space="preserve">code-switched</w:t>
      </w:r>
      <w:r w:rsidDel="00000000" w:rsidR="00000000" w:rsidRPr="00000000">
        <w:rPr>
          <w:rtl w:val="0"/>
        </w:rPr>
        <w:t xml:space="preserve"> </w:t>
      </w:r>
      <w:r w:rsidDel="00000000" w:rsidR="00000000" w:rsidRPr="00000000">
        <w:rPr>
          <w:b w:val="1"/>
          <w:rtl w:val="0"/>
        </w:rPr>
        <w:t xml:space="preserve">read speech</w:t>
      </w:r>
      <w:r w:rsidDel="00000000" w:rsidR="00000000" w:rsidRPr="00000000">
        <w:rPr>
          <w:rtl w:val="0"/>
        </w:rPr>
        <w:t xml:space="preserve"> is produced with a larger pitch range and longer stressed vowels than monolingual speech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Robin M. Queen. (2001). Bilingual </w:t>
      </w:r>
      <w:r w:rsidDel="00000000" w:rsidR="00000000" w:rsidRPr="00000000">
        <w:rPr>
          <w:rtl w:val="0"/>
        </w:rPr>
        <w:t xml:space="preserve">Intonation Patterns</w:t>
      </w:r>
      <w:r w:rsidDel="00000000" w:rsidR="00000000" w:rsidRPr="00000000">
        <w:rPr>
          <w:rtl w:val="0"/>
        </w:rPr>
        <w:t xml:space="preserve">: Evidence of Language Change from Turkish-German Bilingual </w:t>
      </w:r>
      <w:r w:rsidDel="00000000" w:rsidR="00000000" w:rsidRPr="00000000">
        <w:rPr>
          <w:rtl w:val="0"/>
        </w:rPr>
        <w:t xml:space="preserve">Children</w:t>
      </w:r>
      <w:r w:rsidDel="00000000" w:rsidR="00000000" w:rsidRPr="00000000">
        <w:rPr>
          <w:rtl w:val="0"/>
        </w:rPr>
        <w:t xml:space="preserve">. </w:t>
      </w:r>
      <w:r w:rsidDel="00000000" w:rsidR="00000000" w:rsidRPr="00000000">
        <w:rPr>
          <w:i w:val="1"/>
          <w:rtl w:val="0"/>
        </w:rPr>
        <w:t xml:space="preserve">Language in Society</w:t>
      </w:r>
      <w:r w:rsidDel="00000000" w:rsidR="00000000" w:rsidRPr="00000000">
        <w:rPr>
          <w:rtl w:val="0"/>
        </w:rPr>
        <w:t xml:space="preserve">, </w:t>
      </w:r>
      <w:r w:rsidDel="00000000" w:rsidR="00000000" w:rsidRPr="00000000">
        <w:rPr>
          <w:i w:val="1"/>
          <w:rtl w:val="0"/>
        </w:rPr>
        <w:t xml:space="preserve">30</w:t>
      </w:r>
      <w:r w:rsidDel="00000000" w:rsidR="00000000" w:rsidRPr="00000000">
        <w:rPr>
          <w:rtl w:val="0"/>
        </w:rPr>
        <w:t xml:space="preserve">(1), 55–80. </w:t>
      </w:r>
      <w:hyperlink r:id="rId7">
        <w:r w:rsidDel="00000000" w:rsidR="00000000" w:rsidRPr="00000000">
          <w:rPr>
            <w:color w:val="1155cc"/>
            <w:u w:val="single"/>
            <w:rtl w:val="0"/>
          </w:rPr>
          <w:t xml:space="preserve">http://www.jstor.org/stable/4169069</w:t>
        </w:r>
      </w:hyperlink>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Methodology</w:t>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"the pitch was extracted using an autocorrelation pitch tracking application developed by Kenneth Whistler of DR.LST Software for Anthony Woodbury."</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"The analysis of the intonational contours was restricted to phrase-final rises;"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"Some </w:t>
      </w:r>
      <w:r w:rsidDel="00000000" w:rsidR="00000000" w:rsidRPr="00000000">
        <w:rPr>
          <w:b w:val="1"/>
          <w:rtl w:val="0"/>
        </w:rPr>
        <w:t xml:space="preserve">Turkish-German</w:t>
      </w:r>
      <w:r w:rsidDel="00000000" w:rsidR="00000000" w:rsidRPr="00000000">
        <w:rPr>
          <w:rtl w:val="0"/>
        </w:rPr>
        <w:t xml:space="preserve"> bilinguals produce an intonation pattern that is clearly the result of mixing formally distinct patterns found in Turkish and German." (p. 56)</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"The data from the bilingual children present the following three patterns: (i) use of Turkish-like intonation in Turkish and German-like intonation in German; (ii) use of Turkish patterns in both languages; and (iii) use of features of </w:t>
      </w:r>
      <w:r w:rsidDel="00000000" w:rsidR="00000000" w:rsidRPr="00000000">
        <w:rPr>
          <w:rtl w:val="0"/>
        </w:rPr>
        <w:t xml:space="preserve">both intonation systems</w:t>
      </w:r>
      <w:r w:rsidDel="00000000" w:rsidR="00000000" w:rsidRPr="00000000">
        <w:rPr>
          <w:rtl w:val="0"/>
        </w:rPr>
        <w:t xml:space="preserve"> in both languages." (p. 58)</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"Queen (2001) found that German question words inserted into Turkish matrix utterances were produced with German intonation patterns. Additionally, when Turkish question particles were inserted into German utterances, they were produced with Turkish intonation patterns." (paraphrase from Olson, 2016, p. 455)</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Mentions Cichoki and Lepetit (p.62) study on French-English in Canada, where “bilinguals were actually leading a change from a French pattern of declination to a more English-like pattern in the production of French” BUT these authors </w:t>
      </w:r>
      <w:r w:rsidDel="00000000" w:rsidR="00000000" w:rsidRPr="00000000">
        <w:rPr>
          <w:b w:val="1"/>
          <w:rtl w:val="0"/>
        </w:rPr>
        <w:t xml:space="preserve">only present data from the French of their participants</w:t>
      </w:r>
      <w:r w:rsidDel="00000000" w:rsidR="00000000" w:rsidRPr="00000000">
        <w:rPr>
          <w:rtl w:val="0"/>
        </w:rPr>
        <w:t xml:space="preserv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Venkatraman, L. (2022). </w:t>
      </w:r>
      <w:r w:rsidDel="00000000" w:rsidR="00000000" w:rsidRPr="00000000">
        <w:rPr>
          <w:i w:val="1"/>
          <w:rtl w:val="0"/>
        </w:rPr>
        <w:t xml:space="preserve">Flipping the switch: Tonal patterns in Mandarin-English code-switching</w:t>
      </w:r>
      <w:r w:rsidDel="00000000" w:rsidR="00000000" w:rsidRPr="00000000">
        <w:rPr>
          <w:rtl w:val="0"/>
        </w:rPr>
        <w:t xml:space="preserve"> (Doctoral dissertation, Yale University).</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Asks: “When two languages—one with phonemic tone, and one without—are code-switched by a bilingual speaker, what is the effect (if any) on the pitch contour of the resulting sentence?” (4)</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rtl w:val="0"/>
        </w:rPr>
        <w:t xml:space="preserve">Read</w:t>
      </w:r>
      <w:r w:rsidDel="00000000" w:rsidR="00000000" w:rsidRPr="00000000">
        <w:rPr>
          <w:rtl w:val="0"/>
        </w:rPr>
        <w:t xml:space="preserve"> code-switched speech</w:t>
      </w:r>
      <w:r w:rsidDel="00000000" w:rsidR="00000000" w:rsidRPr="00000000">
        <w:rPr>
          <w:rtl w:val="0"/>
        </w:rPr>
        <w:t xml:space="preserve"> from Mandarin-English bilinguals "demonstrated the 'base language effect'--the influence of the matrix language on the embedded element" in its pitch</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In particular, "maximum f0 for rising-tone targets in CS contexts" is greater than "in monolingual Mandarin" contexts, which the author suggests may be due to the fact that "English speech is inherently higher-pitched than Mandarin" (25-26)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w0RkxSB9DSs0N7Cj09QBQCodCNUXQZBV/edit?usp=sharing&amp;ouid=117389756769522272628&amp;rtpof=true&amp;sd=true" TargetMode="External"/><Relationship Id="rId7" Type="http://schemas.openxmlformats.org/officeDocument/2006/relationships/hyperlink" Target="http://www.jstor.org/stable/4169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