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6A6F" w14:textId="77777777" w:rsidR="0038611E" w:rsidRPr="0038611E" w:rsidRDefault="0038611E" w:rsidP="0038611E">
      <w:pPr>
        <w:rPr>
          <w:lang w:val="en-PG"/>
        </w:rPr>
      </w:pPr>
      <w:r w:rsidRPr="0038611E">
        <w:rPr>
          <w:lang w:val="en-PG"/>
        </w:rPr>
        <w:t xml:space="preserve">Papers 38 through 41 mark a critical shift in the TAFA framework from qualitative </w:t>
      </w:r>
      <w:proofErr w:type="spellStart"/>
      <w:r w:rsidRPr="0038611E">
        <w:rPr>
          <w:lang w:val="en-PG"/>
        </w:rPr>
        <w:t>modeling</w:t>
      </w:r>
      <w:proofErr w:type="spellEnd"/>
      <w:r w:rsidRPr="0038611E">
        <w:rPr>
          <w:lang w:val="en-PG"/>
        </w:rPr>
        <w:t xml:space="preserve"> to </w:t>
      </w:r>
      <w:r w:rsidRPr="0038611E">
        <w:rPr>
          <w:b/>
          <w:bCs/>
          <w:lang w:val="en-PG"/>
        </w:rPr>
        <w:t>mathematical hardening and first-principles closure</w:t>
      </w:r>
      <w:r w:rsidRPr="0038611E">
        <w:rPr>
          <w:lang w:val="en-PG"/>
        </w:rPr>
        <w:t xml:space="preserve">. This sequence establishes the framework's compatibility with General Relativity, stabilizes its core numerical "warp engine," and localizes the remaining mathematical bottlenecks needed for full </w:t>
      </w:r>
      <w:r w:rsidRPr="0038611E">
        <w:rPr>
          <w:b/>
          <w:bCs/>
          <w:lang w:val="en-PG"/>
        </w:rPr>
        <w:t>predictive sovereignty</w:t>
      </w:r>
      <w:r w:rsidRPr="0038611E">
        <w:rPr>
          <w:lang w:val="en-PG"/>
        </w:rPr>
        <w:t>.</w:t>
      </w:r>
    </w:p>
    <w:p w14:paraId="201CE7D6" w14:textId="77777777" w:rsidR="0038611E" w:rsidRPr="0038611E" w:rsidRDefault="0038611E" w:rsidP="0038611E">
      <w:pPr>
        <w:rPr>
          <w:b/>
          <w:bCs/>
          <w:lang w:val="en-PG"/>
        </w:rPr>
      </w:pPr>
      <w:r w:rsidRPr="0038611E">
        <w:rPr>
          <w:b/>
          <w:bCs/>
          <w:lang w:val="en-PG"/>
        </w:rPr>
        <w:t>Paper 38: The Low-Energy Einstein Limit</w:t>
      </w:r>
    </w:p>
    <w:p w14:paraId="0FF6C979" w14:textId="77777777" w:rsidR="0038611E" w:rsidRPr="0038611E" w:rsidRDefault="0038611E" w:rsidP="0038611E">
      <w:pPr>
        <w:rPr>
          <w:lang w:val="en-PG"/>
        </w:rPr>
      </w:pPr>
      <w:r w:rsidRPr="0038611E">
        <w:rPr>
          <w:lang w:val="en-PG"/>
        </w:rPr>
        <w:t xml:space="preserve">Paper 38 proves that the effective five-dimensional cone framework admits a genuine </w:t>
      </w:r>
      <w:r w:rsidRPr="0038611E">
        <w:rPr>
          <w:b/>
          <w:bCs/>
          <w:lang w:val="en-PG"/>
        </w:rPr>
        <w:t>four-dimensional General Relativity (GR) limit</w:t>
      </w:r>
      <w:r w:rsidRPr="0038611E">
        <w:rPr>
          <w:lang w:val="en-PG"/>
        </w:rPr>
        <w:t xml:space="preserve"> rather than serving as a replacement for established gravitational laws.</w:t>
      </w:r>
    </w:p>
    <w:p w14:paraId="099BDA70" w14:textId="77777777" w:rsidR="0038611E" w:rsidRPr="0038611E" w:rsidRDefault="0038611E" w:rsidP="0038611E">
      <w:pPr>
        <w:numPr>
          <w:ilvl w:val="0"/>
          <w:numId w:val="1"/>
        </w:numPr>
        <w:rPr>
          <w:lang w:val="en-PG"/>
        </w:rPr>
      </w:pPr>
      <w:r w:rsidRPr="0038611E">
        <w:rPr>
          <w:b/>
          <w:bCs/>
          <w:lang w:val="en-PG"/>
        </w:rPr>
        <w:t>Einstein-Hilbert Term:</w:t>
      </w:r>
      <w:r w:rsidRPr="0038611E">
        <w:rPr>
          <w:lang w:val="en-PG"/>
        </w:rPr>
        <w:t xml:space="preserve"> The paper demonstrates that under standard dimensional-reduction assumptions, the theory contains a finite 4D Einstein-Hilbert term with an </w:t>
      </w:r>
      <w:r w:rsidRPr="0038611E">
        <w:rPr>
          <w:b/>
          <w:bCs/>
          <w:lang w:val="en-PG"/>
        </w:rPr>
        <w:t>emergent Planck mass</w:t>
      </w:r>
      <w:r w:rsidRPr="0038611E">
        <w:rPr>
          <w:lang w:val="en-PG"/>
        </w:rPr>
        <w:t xml:space="preserve"> determined by the warped cone volume: $M_{\rm Pl}^2 = M_5^3 \int </w:t>
      </w:r>
      <w:proofErr w:type="spellStart"/>
      <w:r w:rsidRPr="0038611E">
        <w:rPr>
          <w:lang w:val="en-PG"/>
        </w:rPr>
        <w:t>dy,e</w:t>
      </w:r>
      <w:proofErr w:type="spellEnd"/>
      <w:r w:rsidRPr="0038611E">
        <w:rPr>
          <w:lang w:val="en-PG"/>
        </w:rPr>
        <w:t>^{2A(y)}\</w:t>
      </w:r>
      <w:proofErr w:type="spellStart"/>
      <w:r w:rsidRPr="0038611E">
        <w:rPr>
          <w:lang w:val="en-PG"/>
        </w:rPr>
        <w:t>mathcal</w:t>
      </w:r>
      <w:proofErr w:type="spellEnd"/>
      <w:r w:rsidRPr="0038611E">
        <w:rPr>
          <w:lang w:val="en-PG"/>
        </w:rPr>
        <w:t>{W}_{\rm cone}(y)$.</w:t>
      </w:r>
    </w:p>
    <w:p w14:paraId="3B17A5FF" w14:textId="77777777" w:rsidR="0038611E" w:rsidRPr="0038611E" w:rsidRDefault="0038611E" w:rsidP="0038611E">
      <w:pPr>
        <w:numPr>
          <w:ilvl w:val="0"/>
          <w:numId w:val="1"/>
        </w:numPr>
        <w:rPr>
          <w:lang w:val="en-PG"/>
        </w:rPr>
      </w:pPr>
      <w:r w:rsidRPr="0038611E">
        <w:rPr>
          <w:b/>
          <w:bCs/>
          <w:lang w:val="en-PG"/>
        </w:rPr>
        <w:t>Recovery of GR:</w:t>
      </w:r>
      <w:r w:rsidRPr="0038611E">
        <w:rPr>
          <w:lang w:val="en-PG"/>
        </w:rPr>
        <w:t xml:space="preserve"> The resulting field equations reduce to ordinary Einstein gravity ($G_{\mu\nu} = \</w:t>
      </w:r>
      <w:proofErr w:type="gramStart"/>
      <w:r w:rsidRPr="0038611E">
        <w:rPr>
          <w:lang w:val="en-PG"/>
        </w:rPr>
        <w:t>frac{1}{</w:t>
      </w:r>
      <w:proofErr w:type="gramEnd"/>
      <w:r w:rsidRPr="0038611E">
        <w:rPr>
          <w:lang w:val="en-PG"/>
        </w:rPr>
        <w:t>M</w:t>
      </w:r>
      <w:proofErr w:type="gramStart"/>
      <w:r w:rsidRPr="0038611E">
        <w:rPr>
          <w:lang w:val="en-PG"/>
        </w:rPr>
        <w:t>_{</w:t>
      </w:r>
      <w:proofErr w:type="gramEnd"/>
      <w:r w:rsidRPr="0038611E">
        <w:rPr>
          <w:lang w:val="en-PG"/>
        </w:rPr>
        <w:t xml:space="preserve">\rm </w:t>
      </w:r>
      <w:proofErr w:type="gramStart"/>
      <w:r w:rsidRPr="0038611E">
        <w:rPr>
          <w:lang w:val="en-PG"/>
        </w:rPr>
        <w:t>Pl}^2}T</w:t>
      </w:r>
      <w:proofErr w:type="gramEnd"/>
      <w:r w:rsidRPr="0038611E">
        <w:rPr>
          <w:lang w:val="en-PG"/>
        </w:rPr>
        <w:t>_{</w:t>
      </w:r>
      <w:proofErr w:type="gramStart"/>
      <w:r w:rsidRPr="0038611E">
        <w:rPr>
          <w:lang w:val="en-PG"/>
        </w:rPr>
        <w:t>\mu\nu}^</w:t>
      </w:r>
      <w:proofErr w:type="gramEnd"/>
      <w:r w:rsidRPr="0038611E">
        <w:rPr>
          <w:lang w:val="en-PG"/>
        </w:rPr>
        <w:t xml:space="preserve">{\rm </w:t>
      </w:r>
      <w:proofErr w:type="gramStart"/>
      <w:r w:rsidRPr="0038611E">
        <w:rPr>
          <w:lang w:val="en-PG"/>
        </w:rPr>
        <w:t>eff}$</w:t>
      </w:r>
      <w:proofErr w:type="gramEnd"/>
      <w:r w:rsidRPr="0038611E">
        <w:rPr>
          <w:lang w:val="en-PG"/>
        </w:rPr>
        <w:t>) as the cone control parameter $\epsilon</w:t>
      </w:r>
      <w:proofErr w:type="gramStart"/>
      <w:r w:rsidRPr="0038611E">
        <w:rPr>
          <w:lang w:val="en-PG"/>
        </w:rPr>
        <w:t>_{</w:t>
      </w:r>
      <w:proofErr w:type="gramEnd"/>
      <w:r w:rsidRPr="0038611E">
        <w:rPr>
          <w:lang w:val="en-PG"/>
        </w:rPr>
        <w:t xml:space="preserve">\rm </w:t>
      </w:r>
      <w:proofErr w:type="gramStart"/>
      <w:r w:rsidRPr="0038611E">
        <w:rPr>
          <w:lang w:val="en-PG"/>
        </w:rPr>
        <w:t>cone}$</w:t>
      </w:r>
      <w:proofErr w:type="gramEnd"/>
      <w:r w:rsidRPr="0038611E">
        <w:rPr>
          <w:lang w:val="en-PG"/>
        </w:rPr>
        <w:t xml:space="preserve"> approaches zero.</w:t>
      </w:r>
    </w:p>
    <w:p w14:paraId="15480107" w14:textId="77777777" w:rsidR="0038611E" w:rsidRPr="0038611E" w:rsidRDefault="0038611E" w:rsidP="0038611E">
      <w:pPr>
        <w:numPr>
          <w:ilvl w:val="0"/>
          <w:numId w:val="1"/>
        </w:numPr>
        <w:rPr>
          <w:lang w:val="en-PG"/>
        </w:rPr>
      </w:pPr>
      <w:r w:rsidRPr="0038611E">
        <w:rPr>
          <w:b/>
          <w:bCs/>
          <w:lang w:val="en-PG"/>
        </w:rPr>
        <w:t>Consistency Checks:</w:t>
      </w:r>
      <w:r w:rsidRPr="0038611E">
        <w:rPr>
          <w:lang w:val="en-PG"/>
        </w:rPr>
        <w:t xml:space="preserve"> The framework successfully recovers the </w:t>
      </w:r>
      <w:r w:rsidRPr="0038611E">
        <w:rPr>
          <w:b/>
          <w:bCs/>
          <w:lang w:val="en-PG"/>
        </w:rPr>
        <w:t>Newtonian limit</w:t>
      </w:r>
      <w:r w:rsidRPr="0038611E">
        <w:rPr>
          <w:lang w:val="en-PG"/>
        </w:rPr>
        <w:t xml:space="preserve"> and predicts </w:t>
      </w:r>
      <w:r w:rsidRPr="0038611E">
        <w:rPr>
          <w:b/>
          <w:bCs/>
          <w:lang w:val="en-PG"/>
        </w:rPr>
        <w:t>luminal tensor propagation</w:t>
      </w:r>
      <w:r w:rsidRPr="0038611E">
        <w:rPr>
          <w:lang w:val="en-PG"/>
        </w:rPr>
        <w:t xml:space="preserve"> ($c_T^2 = 1$) for gravitational waves at leading order.</w:t>
      </w:r>
    </w:p>
    <w:p w14:paraId="065C37C6" w14:textId="77777777" w:rsidR="0038611E" w:rsidRPr="0038611E" w:rsidRDefault="0038611E" w:rsidP="0038611E">
      <w:pPr>
        <w:numPr>
          <w:ilvl w:val="0"/>
          <w:numId w:val="1"/>
        </w:numPr>
        <w:rPr>
          <w:lang w:val="en-PG"/>
        </w:rPr>
      </w:pPr>
      <w:r w:rsidRPr="0038611E">
        <w:rPr>
          <w:b/>
          <w:bCs/>
          <w:lang w:val="en-PG"/>
        </w:rPr>
        <w:t>Correction Sectors:</w:t>
      </w:r>
      <w:r w:rsidRPr="0038611E">
        <w:rPr>
          <w:lang w:val="en-PG"/>
        </w:rPr>
        <w:t xml:space="preserve"> It identifies leading deviations from GR as controlled corrections, including scalar-tensor contributions, higher-curvature effects, and </w:t>
      </w:r>
      <w:r w:rsidRPr="0038611E">
        <w:rPr>
          <w:b/>
          <w:bCs/>
          <w:lang w:val="en-PG"/>
        </w:rPr>
        <w:t>cone-sector effective stress-energy</w:t>
      </w:r>
      <w:r w:rsidRPr="0038611E">
        <w:rPr>
          <w:lang w:val="en-PG"/>
        </w:rPr>
        <w:t>.</w:t>
      </w:r>
    </w:p>
    <w:p w14:paraId="1AD44C52" w14:textId="77777777" w:rsidR="0038611E" w:rsidRPr="0038611E" w:rsidRDefault="0038611E" w:rsidP="0038611E">
      <w:pPr>
        <w:rPr>
          <w:b/>
          <w:bCs/>
          <w:lang w:val="en-PG"/>
        </w:rPr>
      </w:pPr>
      <w:r w:rsidRPr="0038611E">
        <w:rPr>
          <w:b/>
          <w:bCs/>
          <w:lang w:val="en-PG"/>
        </w:rPr>
        <w:t>Paper 39: Bulk-Warp Stabilization and the Closure Checklist</w:t>
      </w:r>
    </w:p>
    <w:p w14:paraId="5D80B1C4" w14:textId="77777777" w:rsidR="0038611E" w:rsidRPr="0038611E" w:rsidRDefault="0038611E" w:rsidP="0038611E">
      <w:pPr>
        <w:rPr>
          <w:lang w:val="en-PG"/>
        </w:rPr>
      </w:pPr>
      <w:r w:rsidRPr="0038611E">
        <w:rPr>
          <w:lang w:val="en-PG"/>
        </w:rPr>
        <w:t xml:space="preserve">Paper 39 marks the transition to </w:t>
      </w:r>
      <w:r w:rsidRPr="0038611E">
        <w:rPr>
          <w:b/>
          <w:bCs/>
          <w:lang w:val="en-PG"/>
        </w:rPr>
        <w:t>quantitative first-principles closure</w:t>
      </w:r>
      <w:r w:rsidRPr="0038611E">
        <w:rPr>
          <w:lang w:val="en-PG"/>
        </w:rPr>
        <w:t xml:space="preserve"> by resolving severe instabilities in the framework's numerical "warp engine".</w:t>
      </w:r>
    </w:p>
    <w:p w14:paraId="2D308D16" w14:textId="77777777" w:rsidR="0038611E" w:rsidRPr="0038611E" w:rsidRDefault="0038611E" w:rsidP="0038611E">
      <w:pPr>
        <w:numPr>
          <w:ilvl w:val="0"/>
          <w:numId w:val="2"/>
        </w:numPr>
        <w:rPr>
          <w:lang w:val="en-PG"/>
        </w:rPr>
      </w:pPr>
      <w:r w:rsidRPr="0038611E">
        <w:rPr>
          <w:b/>
          <w:bCs/>
          <w:lang w:val="en-PG"/>
        </w:rPr>
        <w:t>BVP Reformulation:</w:t>
      </w:r>
      <w:r w:rsidRPr="0038611E">
        <w:rPr>
          <w:lang w:val="en-PG"/>
        </w:rPr>
        <w:t xml:space="preserve"> The paper replaces earlier initial-value "shooting" methods with a </w:t>
      </w:r>
      <w:r w:rsidRPr="0038611E">
        <w:rPr>
          <w:b/>
          <w:bCs/>
          <w:lang w:val="en-PG"/>
        </w:rPr>
        <w:t>Boundary-Value Problem (BVP)</w:t>
      </w:r>
      <w:r w:rsidRPr="0038611E">
        <w:rPr>
          <w:lang w:val="en-PG"/>
        </w:rPr>
        <w:t xml:space="preserve"> approach to model the coupled warp–regulator system.</w:t>
      </w:r>
    </w:p>
    <w:p w14:paraId="3AA15983" w14:textId="77777777" w:rsidR="0038611E" w:rsidRPr="0038611E" w:rsidRDefault="0038611E" w:rsidP="0038611E">
      <w:pPr>
        <w:numPr>
          <w:ilvl w:val="0"/>
          <w:numId w:val="2"/>
        </w:numPr>
        <w:rPr>
          <w:lang w:val="en-PG"/>
        </w:rPr>
      </w:pPr>
      <w:r w:rsidRPr="0038611E">
        <w:rPr>
          <w:b/>
          <w:bCs/>
          <w:lang w:val="en-PG"/>
        </w:rPr>
        <w:t>Asymptotic Branch Selection:</w:t>
      </w:r>
      <w:r w:rsidRPr="0038611E">
        <w:rPr>
          <w:lang w:val="en-PG"/>
        </w:rPr>
        <w:t xml:space="preserve"> The BVP solver stabilizes the warp factor plateau to $</w:t>
      </w:r>
      <w:proofErr w:type="spellStart"/>
      <w:r w:rsidRPr="0038611E">
        <w:rPr>
          <w:lang w:val="en-PG"/>
        </w:rPr>
        <w:t>rA</w:t>
      </w:r>
      <w:proofErr w:type="spellEnd"/>
      <w:r w:rsidRPr="0038611E">
        <w:rPr>
          <w:lang w:val="en-PG"/>
        </w:rPr>
        <w:t>'(r) \</w:t>
      </w:r>
      <w:proofErr w:type="spellStart"/>
      <w:r w:rsidRPr="0038611E">
        <w:rPr>
          <w:lang w:val="en-PG"/>
        </w:rPr>
        <w:t>approx</w:t>
      </w:r>
      <w:proofErr w:type="spellEnd"/>
      <w:r w:rsidRPr="0038611E">
        <w:rPr>
          <w:lang w:val="en-PG"/>
        </w:rPr>
        <w:t xml:space="preserve"> 0.1477$, within </w:t>
      </w:r>
      <w:r w:rsidRPr="0038611E">
        <w:rPr>
          <w:b/>
          <w:bCs/>
          <w:lang w:val="en-PG"/>
        </w:rPr>
        <w:t>3.3% of the distinguished rational target of 11/72</w:t>
      </w:r>
      <w:r w:rsidRPr="0038611E">
        <w:rPr>
          <w:lang w:val="en-PG"/>
        </w:rPr>
        <w:t>.</w:t>
      </w:r>
    </w:p>
    <w:p w14:paraId="5AF3CC3B" w14:textId="77777777" w:rsidR="0038611E" w:rsidRPr="0038611E" w:rsidRDefault="0038611E" w:rsidP="0038611E">
      <w:pPr>
        <w:numPr>
          <w:ilvl w:val="0"/>
          <w:numId w:val="2"/>
        </w:numPr>
        <w:rPr>
          <w:lang w:val="en-PG"/>
        </w:rPr>
      </w:pPr>
      <w:r w:rsidRPr="0038611E">
        <w:rPr>
          <w:b/>
          <w:bCs/>
          <w:lang w:val="en-PG"/>
        </w:rPr>
        <w:t>Stable Quasi-Selection:</w:t>
      </w:r>
      <w:r w:rsidRPr="0038611E">
        <w:rPr>
          <w:lang w:val="en-PG"/>
        </w:rPr>
        <w:t xml:space="preserve"> This result establishes that the logarithmic warp branch is a real, globally stable geometric feature of the 35° cone, though not yet an exact first-principles derivation.</w:t>
      </w:r>
    </w:p>
    <w:p w14:paraId="55EEE4E0" w14:textId="77777777" w:rsidR="0038611E" w:rsidRPr="0038611E" w:rsidRDefault="0038611E" w:rsidP="0038611E">
      <w:pPr>
        <w:numPr>
          <w:ilvl w:val="0"/>
          <w:numId w:val="2"/>
        </w:numPr>
        <w:rPr>
          <w:lang w:val="en-PG"/>
        </w:rPr>
      </w:pPr>
      <w:r w:rsidRPr="0038611E">
        <w:rPr>
          <w:b/>
          <w:bCs/>
          <w:lang w:val="en-PG"/>
        </w:rPr>
        <w:t>The "Six Gates":</w:t>
      </w:r>
      <w:r w:rsidRPr="0038611E">
        <w:rPr>
          <w:lang w:val="en-PG"/>
        </w:rPr>
        <w:t xml:space="preserve"> The paper identifies the final requirements for a completed Theory of Everything (TOE), including the </w:t>
      </w:r>
      <w:r w:rsidRPr="0038611E">
        <w:rPr>
          <w:b/>
          <w:bCs/>
          <w:lang w:val="en-PG"/>
        </w:rPr>
        <w:t>Full 5D/10D Bulk-Warp Derivation</w:t>
      </w:r>
      <w:r w:rsidRPr="0038611E">
        <w:rPr>
          <w:lang w:val="en-PG"/>
        </w:rPr>
        <w:t xml:space="preserve"> and the </w:t>
      </w:r>
      <w:r w:rsidRPr="0038611E">
        <w:rPr>
          <w:b/>
          <w:bCs/>
          <w:lang w:val="en-PG"/>
        </w:rPr>
        <w:t>Activation Map ($z \</w:t>
      </w:r>
      <w:proofErr w:type="spellStart"/>
      <w:r w:rsidRPr="0038611E">
        <w:rPr>
          <w:b/>
          <w:bCs/>
          <w:lang w:val="en-PG"/>
        </w:rPr>
        <w:t>mapsto</w:t>
      </w:r>
      <w:proofErr w:type="spellEnd"/>
      <w:r w:rsidRPr="0038611E">
        <w:rPr>
          <w:b/>
          <w:bCs/>
          <w:lang w:val="en-PG"/>
        </w:rPr>
        <w:t xml:space="preserve"> y$)</w:t>
      </w:r>
      <w:r w:rsidRPr="0038611E">
        <w:rPr>
          <w:lang w:val="en-PG"/>
        </w:rPr>
        <w:t>.</w:t>
      </w:r>
    </w:p>
    <w:p w14:paraId="48CF3F5D" w14:textId="77777777" w:rsidR="0038611E" w:rsidRPr="0038611E" w:rsidRDefault="0038611E" w:rsidP="0038611E">
      <w:pPr>
        <w:rPr>
          <w:b/>
          <w:bCs/>
          <w:lang w:val="en-PG"/>
        </w:rPr>
      </w:pPr>
      <w:r w:rsidRPr="0038611E">
        <w:rPr>
          <w:b/>
          <w:bCs/>
          <w:lang w:val="en-PG"/>
        </w:rPr>
        <w:t>Paper 40: The Golden Gate Structural Audit</w:t>
      </w:r>
    </w:p>
    <w:p w14:paraId="51BEB265" w14:textId="77777777" w:rsidR="0038611E" w:rsidRPr="0038611E" w:rsidRDefault="0038611E" w:rsidP="0038611E">
      <w:pPr>
        <w:rPr>
          <w:lang w:val="en-PG"/>
        </w:rPr>
      </w:pPr>
      <w:r w:rsidRPr="0038611E">
        <w:rPr>
          <w:lang w:val="en-PG"/>
        </w:rPr>
        <w:t>Paper 40 is a "diagnostic audit" focused on the mathematical pipeline used to derive the framework's primary applied gravitational models.</w:t>
      </w:r>
    </w:p>
    <w:p w14:paraId="1BCE9DD7" w14:textId="77777777" w:rsidR="0038611E" w:rsidRPr="0038611E" w:rsidRDefault="0038611E" w:rsidP="0038611E">
      <w:pPr>
        <w:numPr>
          <w:ilvl w:val="0"/>
          <w:numId w:val="3"/>
        </w:numPr>
        <w:rPr>
          <w:lang w:val="en-PG"/>
        </w:rPr>
      </w:pPr>
      <w:r w:rsidRPr="0038611E">
        <w:rPr>
          <w:b/>
          <w:bCs/>
          <w:lang w:val="en-PG"/>
        </w:rPr>
        <w:lastRenderedPageBreak/>
        <w:t>Localized Discrepancy:</w:t>
      </w:r>
      <w:r w:rsidRPr="0038611E">
        <w:rPr>
          <w:lang w:val="en-PG"/>
        </w:rPr>
        <w:t xml:space="preserve"> The audit investigates a persistent numerical mismatch in the </w:t>
      </w:r>
      <w:r w:rsidRPr="0038611E">
        <w:rPr>
          <w:b/>
          <w:bCs/>
          <w:lang w:val="en-PG"/>
        </w:rPr>
        <w:t>Wronskian-source identity</w:t>
      </w:r>
      <w:r w:rsidRPr="0038611E">
        <w:rPr>
          <w:lang w:val="en-PG"/>
        </w:rPr>
        <w:t>—the law intended to propagate how the solution changes relative to the spectral parameter.</w:t>
      </w:r>
    </w:p>
    <w:p w14:paraId="608A1014" w14:textId="77777777" w:rsidR="0038611E" w:rsidRPr="0038611E" w:rsidRDefault="0038611E" w:rsidP="0038611E">
      <w:pPr>
        <w:numPr>
          <w:ilvl w:val="0"/>
          <w:numId w:val="3"/>
        </w:numPr>
        <w:rPr>
          <w:lang w:val="en-PG"/>
        </w:rPr>
      </w:pPr>
      <w:r w:rsidRPr="0038611E">
        <w:rPr>
          <w:b/>
          <w:bCs/>
          <w:lang w:val="en-PG"/>
        </w:rPr>
        <w:t>Validated Base ODE:</w:t>
      </w:r>
      <w:r w:rsidRPr="0038611E">
        <w:rPr>
          <w:lang w:val="en-PG"/>
        </w:rPr>
        <w:t xml:space="preserve"> The analysis confirms that the base homogeneous ODE system is correct at machine precision, meaning the core transport logic is sound.</w:t>
      </w:r>
    </w:p>
    <w:p w14:paraId="2B97BA57" w14:textId="77777777" w:rsidR="0038611E" w:rsidRPr="0038611E" w:rsidRDefault="0038611E" w:rsidP="0038611E">
      <w:pPr>
        <w:numPr>
          <w:ilvl w:val="0"/>
          <w:numId w:val="3"/>
        </w:numPr>
        <w:rPr>
          <w:lang w:val="en-PG"/>
        </w:rPr>
      </w:pPr>
      <w:r w:rsidRPr="0038611E">
        <w:rPr>
          <w:b/>
          <w:bCs/>
          <w:lang w:val="en-PG"/>
        </w:rPr>
        <w:t>Derivative Branch Problem:</w:t>
      </w:r>
      <w:r w:rsidRPr="0038611E">
        <w:rPr>
          <w:lang w:val="en-PG"/>
        </w:rPr>
        <w:t xml:space="preserve"> The discrepancy is localized to the </w:t>
      </w:r>
      <w:r w:rsidRPr="0038611E">
        <w:rPr>
          <w:b/>
          <w:bCs/>
          <w:lang w:val="en-PG"/>
        </w:rPr>
        <w:t>augmented parameter-derivative branch</w:t>
      </w:r>
      <w:r w:rsidRPr="0038611E">
        <w:rPr>
          <w:lang w:val="en-PG"/>
        </w:rPr>
        <w:t>, which is found to not be the true spectral derivative of the base solution.</w:t>
      </w:r>
    </w:p>
    <w:p w14:paraId="76D464BC" w14:textId="77777777" w:rsidR="0038611E" w:rsidRPr="0038611E" w:rsidRDefault="0038611E" w:rsidP="0038611E">
      <w:pPr>
        <w:numPr>
          <w:ilvl w:val="0"/>
          <w:numId w:val="3"/>
        </w:numPr>
        <w:rPr>
          <w:lang w:val="en-PG"/>
        </w:rPr>
      </w:pPr>
      <w:r w:rsidRPr="0038611E">
        <w:rPr>
          <w:b/>
          <w:bCs/>
          <w:lang w:val="en-PG"/>
        </w:rPr>
        <w:t>Structural Incompleteness:</w:t>
      </w:r>
      <w:r w:rsidRPr="0038611E">
        <w:rPr>
          <w:lang w:val="en-PG"/>
        </w:rPr>
        <w:t xml:space="preserve"> The paper concludes that the error likely arises from </w:t>
      </w:r>
      <w:r w:rsidRPr="0038611E">
        <w:rPr>
          <w:b/>
          <w:bCs/>
          <w:lang w:val="en-PG"/>
        </w:rPr>
        <w:t>hidden parameter dependencies</w:t>
      </w:r>
      <w:r w:rsidRPr="0038611E">
        <w:rPr>
          <w:lang w:val="en-PG"/>
        </w:rPr>
        <w:t xml:space="preserve"> in coefficients or variable transformations (transformed momenta) used in the solver implementation.</w:t>
      </w:r>
    </w:p>
    <w:p w14:paraId="4D2964ED" w14:textId="77777777" w:rsidR="0038611E" w:rsidRPr="0038611E" w:rsidRDefault="0038611E" w:rsidP="0038611E">
      <w:pPr>
        <w:rPr>
          <w:b/>
          <w:bCs/>
          <w:lang w:val="en-PG"/>
        </w:rPr>
      </w:pPr>
      <w:r w:rsidRPr="0038611E">
        <w:rPr>
          <w:b/>
          <w:bCs/>
          <w:lang w:val="en-PG"/>
        </w:rPr>
        <w:t>Paper 41: Activation Geometry and the Redshift Map</w:t>
      </w:r>
    </w:p>
    <w:p w14:paraId="4811AFD7" w14:textId="77777777" w:rsidR="0038611E" w:rsidRPr="0038611E" w:rsidRDefault="0038611E" w:rsidP="0038611E">
      <w:pPr>
        <w:rPr>
          <w:lang w:val="en-PG"/>
        </w:rPr>
      </w:pPr>
      <w:r w:rsidRPr="0038611E">
        <w:rPr>
          <w:lang w:val="en-PG"/>
        </w:rPr>
        <w:t xml:space="preserve">Paper 41 reframes the problem of cosmic evolution by treating the map between cosmological redshift ($z$) and the internal coordinate ($y$) as a </w:t>
      </w:r>
      <w:r w:rsidRPr="0038611E">
        <w:rPr>
          <w:b/>
          <w:bCs/>
          <w:lang w:val="en-PG"/>
        </w:rPr>
        <w:t>geometric necessity</w:t>
      </w:r>
      <w:r w:rsidRPr="0038611E">
        <w:rPr>
          <w:lang w:val="en-PG"/>
        </w:rPr>
        <w:t>.</w:t>
      </w:r>
    </w:p>
    <w:p w14:paraId="6993997A" w14:textId="77777777" w:rsidR="0038611E" w:rsidRPr="0038611E" w:rsidRDefault="0038611E" w:rsidP="0038611E">
      <w:pPr>
        <w:numPr>
          <w:ilvl w:val="0"/>
          <w:numId w:val="4"/>
        </w:numPr>
        <w:rPr>
          <w:lang w:val="en-PG"/>
        </w:rPr>
      </w:pPr>
      <w:r w:rsidRPr="0038611E">
        <w:rPr>
          <w:b/>
          <w:bCs/>
          <w:lang w:val="en-PG"/>
        </w:rPr>
        <w:t>Core Activation Hypothesis:</w:t>
      </w:r>
      <w:r w:rsidRPr="0038611E">
        <w:rPr>
          <w:lang w:val="en-PG"/>
        </w:rPr>
        <w:t xml:space="preserve"> It replaces ad hoc fits with an implicit </w:t>
      </w:r>
      <w:r w:rsidRPr="0038611E">
        <w:rPr>
          <w:b/>
          <w:bCs/>
          <w:lang w:val="en-PG"/>
        </w:rPr>
        <w:t>critical-surface equation</w:t>
      </w:r>
      <w:r w:rsidRPr="0038611E">
        <w:rPr>
          <w:lang w:val="en-PG"/>
        </w:rPr>
        <w:t xml:space="preserve"> $\beta(y) = g(z)$, where $\beta(y)$ is an internal geometric coefficient and $g(z)$ is a cosmological driver.</w:t>
      </w:r>
    </w:p>
    <w:p w14:paraId="5E73DD5F" w14:textId="77777777" w:rsidR="0038611E" w:rsidRPr="0038611E" w:rsidRDefault="0038611E" w:rsidP="0038611E">
      <w:pPr>
        <w:numPr>
          <w:ilvl w:val="0"/>
          <w:numId w:val="4"/>
        </w:numPr>
        <w:rPr>
          <w:lang w:val="en-PG"/>
        </w:rPr>
      </w:pPr>
      <w:r w:rsidRPr="0038611E">
        <w:rPr>
          <w:b/>
          <w:bCs/>
          <w:lang w:val="en-PG"/>
        </w:rPr>
        <w:t>Regularity Principle:</w:t>
      </w:r>
      <w:r w:rsidRPr="0038611E">
        <w:rPr>
          <w:lang w:val="en-PG"/>
        </w:rPr>
        <w:t xml:space="preserve"> The physical activation map is identified as the </w:t>
      </w:r>
      <w:r w:rsidRPr="0038611E">
        <w:rPr>
          <w:b/>
          <w:bCs/>
          <w:lang w:val="en-PG"/>
        </w:rPr>
        <w:t>regular admissible branch</w:t>
      </w:r>
      <w:r w:rsidRPr="0038611E">
        <w:rPr>
          <w:lang w:val="en-PG"/>
        </w:rPr>
        <w:t xml:space="preserve"> selected when the field equation degenerates on the critical surface.</w:t>
      </w:r>
    </w:p>
    <w:p w14:paraId="1E006F9D" w14:textId="77777777" w:rsidR="0038611E" w:rsidRPr="0038611E" w:rsidRDefault="0038611E" w:rsidP="0038611E">
      <w:pPr>
        <w:numPr>
          <w:ilvl w:val="0"/>
          <w:numId w:val="4"/>
        </w:numPr>
        <w:rPr>
          <w:lang w:val="en-PG"/>
        </w:rPr>
      </w:pPr>
      <w:r w:rsidRPr="0038611E">
        <w:rPr>
          <w:b/>
          <w:bCs/>
          <w:lang w:val="en-PG"/>
        </w:rPr>
        <w:t>Local Activation Law:</w:t>
      </w:r>
      <w:r w:rsidRPr="0038611E">
        <w:rPr>
          <w:lang w:val="en-PG"/>
        </w:rPr>
        <w:t xml:space="preserve"> Based on numerical evidence for $\beta'(y_0) \</w:t>
      </w:r>
      <w:proofErr w:type="spellStart"/>
      <w:r w:rsidRPr="0038611E">
        <w:rPr>
          <w:lang w:val="en-PG"/>
        </w:rPr>
        <w:t>approx</w:t>
      </w:r>
      <w:proofErr w:type="spellEnd"/>
      <w:r w:rsidRPr="0038611E">
        <w:rPr>
          <w:lang w:val="en-PG"/>
        </w:rPr>
        <w:t xml:space="preserve"> -2$, the paper derives a leading local law: $y(z) \</w:t>
      </w:r>
      <w:proofErr w:type="spellStart"/>
      <w:r w:rsidRPr="0038611E">
        <w:rPr>
          <w:lang w:val="en-PG"/>
        </w:rPr>
        <w:t>approx</w:t>
      </w:r>
      <w:proofErr w:type="spellEnd"/>
      <w:r w:rsidRPr="0038611E">
        <w:rPr>
          <w:lang w:val="en-PG"/>
        </w:rPr>
        <w:t xml:space="preserve"> y_0 - \</w:t>
      </w:r>
      <w:proofErr w:type="gramStart"/>
      <w:r w:rsidRPr="0038611E">
        <w:rPr>
          <w:lang w:val="en-PG"/>
        </w:rPr>
        <w:t>frac{</w:t>
      </w:r>
      <w:proofErr w:type="gramEnd"/>
      <w:r w:rsidRPr="0038611E">
        <w:rPr>
          <w:lang w:val="en-PG"/>
        </w:rPr>
        <w:t>1}{2} g(z)$.</w:t>
      </w:r>
    </w:p>
    <w:p w14:paraId="11C6954E" w14:textId="77777777" w:rsidR="0038611E" w:rsidRPr="0038611E" w:rsidRDefault="0038611E" w:rsidP="0038611E">
      <w:pPr>
        <w:numPr>
          <w:ilvl w:val="0"/>
          <w:numId w:val="4"/>
        </w:numPr>
        <w:rPr>
          <w:lang w:val="en-PG"/>
        </w:rPr>
      </w:pPr>
      <w:r w:rsidRPr="0038611E">
        <w:rPr>
          <w:b/>
          <w:bCs/>
          <w:lang w:val="en-PG"/>
        </w:rPr>
        <w:t>Candidate Drivers:</w:t>
      </w:r>
      <w:r w:rsidRPr="0038611E">
        <w:rPr>
          <w:lang w:val="en-PG"/>
        </w:rPr>
        <w:t xml:space="preserve"> The paper organizes and compares prototype cosmological drivers, including </w:t>
      </w:r>
      <w:r w:rsidRPr="0038611E">
        <w:rPr>
          <w:b/>
          <w:bCs/>
          <w:lang w:val="en-PG"/>
        </w:rPr>
        <w:t>logarithmic, Hubble-rate, and hybrid</w:t>
      </w:r>
      <w:r w:rsidRPr="0038611E">
        <w:rPr>
          <w:lang w:val="en-PG"/>
        </w:rPr>
        <w:t xml:space="preserve"> forms.</w:t>
      </w:r>
    </w:p>
    <w:p w14:paraId="0A5A9ED1" w14:textId="77777777" w:rsidR="0038611E" w:rsidRPr="0038611E" w:rsidRDefault="0038611E" w:rsidP="0038611E">
      <w:pPr>
        <w:rPr>
          <w:b/>
          <w:bCs/>
          <w:lang w:val="en-PG"/>
        </w:rPr>
      </w:pPr>
      <w:r w:rsidRPr="0038611E">
        <w:rPr>
          <w:b/>
          <w:bCs/>
          <w:lang w:val="en-PG"/>
        </w:rPr>
        <w:t>Summary of Progress</w:t>
      </w:r>
    </w:p>
    <w:p w14:paraId="518B645C" w14:textId="77777777" w:rsidR="0038611E" w:rsidRPr="0038611E" w:rsidRDefault="0038611E" w:rsidP="0038611E">
      <w:pPr>
        <w:rPr>
          <w:lang w:val="en-PG"/>
        </w:rPr>
      </w:pPr>
      <w:r w:rsidRPr="0038611E">
        <w:rPr>
          <w:lang w:val="en-PG"/>
        </w:rPr>
        <w:t xml:space="preserve">Together, these papers reduce the mystery of the "Dark Sector" to a single, sharply defined quantitative question: </w:t>
      </w:r>
      <w:r w:rsidRPr="0038611E">
        <w:rPr>
          <w:b/>
          <w:bCs/>
          <w:lang w:val="en-PG"/>
        </w:rPr>
        <w:t>does the regular admissible branch of the critical-surface equation match the exact variable definition used in the Golden Gate solver?</w:t>
      </w:r>
      <w:r w:rsidRPr="0038611E">
        <w:rPr>
          <w:lang w:val="en-PG"/>
        </w:rPr>
        <w:t xml:space="preserve"> [Conversation History]. Solving this unified system will simultaneously close the gates for the </w:t>
      </w:r>
      <w:r w:rsidRPr="0038611E">
        <w:rPr>
          <w:b/>
          <w:bCs/>
          <w:lang w:val="en-PG"/>
        </w:rPr>
        <w:t>zero-parameter derivation</w:t>
      </w:r>
      <w:r w:rsidRPr="0038611E">
        <w:rPr>
          <w:lang w:val="en-PG"/>
        </w:rPr>
        <w:t xml:space="preserve"> of the universe's mass and its cosmological history [Conversation History].</w:t>
      </w:r>
    </w:p>
    <w:p w14:paraId="589375CB" w14:textId="77777777" w:rsidR="00831954" w:rsidRDefault="00831954"/>
    <w:sectPr w:rsidR="0083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1DD1"/>
    <w:multiLevelType w:val="multilevel"/>
    <w:tmpl w:val="1DA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41D79"/>
    <w:multiLevelType w:val="multilevel"/>
    <w:tmpl w:val="E580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A278E"/>
    <w:multiLevelType w:val="multilevel"/>
    <w:tmpl w:val="6B2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D53A7"/>
    <w:multiLevelType w:val="multilevel"/>
    <w:tmpl w:val="DCD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02245">
    <w:abstractNumId w:val="1"/>
  </w:num>
  <w:num w:numId="2" w16cid:durableId="1605067592">
    <w:abstractNumId w:val="2"/>
  </w:num>
  <w:num w:numId="3" w16cid:durableId="1306205280">
    <w:abstractNumId w:val="3"/>
  </w:num>
  <w:num w:numId="4" w16cid:durableId="209631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1E"/>
    <w:rsid w:val="0038611E"/>
    <w:rsid w:val="00831954"/>
    <w:rsid w:val="00B6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4B6"/>
  <w15:chartTrackingRefBased/>
  <w15:docId w15:val="{281E3261-38D9-4536-9299-BD641F6A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1</cp:revision>
  <dcterms:created xsi:type="dcterms:W3CDTF">2026-05-06T23:06:00Z</dcterms:created>
  <dcterms:modified xsi:type="dcterms:W3CDTF">2026-05-06T23:07:00Z</dcterms:modified>
</cp:coreProperties>
</file>