
<file path=[Content_Types].xml><?xml version="1.0" encoding="utf-8"?>
<Types xmlns="http://schemas.openxmlformats.org/package/2006/content-types">
  <Default Extension="png" ContentType="image/png"/>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C9E6387">
      <w:pPr>
        <w:spacing w:before="380" w:after="140" w:line="288" w:lineRule="auto"/>
        <w:ind w:left="0"/>
        <w:jc w:val="left"/>
        <w:outlineLvl w:val="0"/>
      </w:pPr>
      <w:bookmarkStart w:id="0" w:name="heading_4"/>
      <w:r>
        <w:rPr>
          <w:rFonts w:ascii="Arial" w:hAnsi="Arial" w:eastAsia="等线" w:cs="Arial"/>
          <w:b/>
          <w:sz w:val="36"/>
        </w:rPr>
        <w:t>周边纪念品</w:t>
      </w:r>
      <w:bookmarkEnd w:id="0"/>
    </w:p>
    <w:p w14:paraId="4593DEEE">
      <w:pPr>
        <w:spacing w:before="320" w:after="120" w:line="288" w:lineRule="auto"/>
        <w:ind w:left="0"/>
        <w:jc w:val="left"/>
        <w:outlineLvl w:val="1"/>
      </w:pPr>
      <w:bookmarkStart w:id="1" w:name="heading_5"/>
      <w:r>
        <w:rPr>
          <w:rFonts w:ascii="Arial" w:hAnsi="Arial" w:eastAsia="等线" w:cs="Arial"/>
          <w:b/>
          <w:sz w:val="32"/>
        </w:rPr>
        <w:t>首页内容：</w:t>
      </w:r>
      <w:bookmarkEnd w:id="1"/>
    </w:p>
    <w:p w14:paraId="4313A8A6">
      <w:pPr>
        <w:spacing w:before="300" w:after="120" w:line="288" w:lineRule="auto"/>
        <w:ind w:left="0"/>
        <w:jc w:val="left"/>
        <w:outlineLvl w:val="2"/>
      </w:pPr>
      <w:bookmarkStart w:id="25" w:name="_GoBack"/>
      <w:bookmarkStart w:id="2" w:name="heading_6"/>
      <w:r>
        <w:rPr>
          <w:rFonts w:ascii="Arial" w:hAnsi="Arial" w:eastAsia="等线" w:cs="Arial"/>
          <w:b/>
          <w:sz w:val="30"/>
        </w:rPr>
        <w:t>标题：</w:t>
      </w:r>
      <w:bookmarkEnd w:id="2"/>
    </w:p>
    <w:bookmarkEnd w:id="25"/>
    <w:p w14:paraId="5675068B">
      <w:pPr>
        <w:spacing w:before="120" w:after="120" w:line="288" w:lineRule="auto"/>
        <w:ind w:left="0"/>
        <w:jc w:val="left"/>
      </w:pPr>
      <w:r>
        <w:rPr>
          <w:rFonts w:ascii="Arial" w:hAnsi="Arial" w:eastAsia="等线" w:cs="Arial"/>
          <w:b/>
          <w:sz w:val="22"/>
        </w:rPr>
        <w:t>The Physical Form of Inspiration</w:t>
      </w:r>
    </w:p>
    <w:p w14:paraId="2B461FB8">
      <w:pPr>
        <w:spacing w:before="300" w:after="120" w:line="288" w:lineRule="auto"/>
        <w:ind w:left="0"/>
        <w:jc w:val="left"/>
        <w:outlineLvl w:val="2"/>
      </w:pPr>
      <w:bookmarkStart w:id="3" w:name="heading_7"/>
      <w:r>
        <w:rPr>
          <w:rFonts w:ascii="Arial" w:hAnsi="Arial" w:eastAsia="等线" w:cs="Arial"/>
          <w:b/>
          <w:sz w:val="30"/>
        </w:rPr>
        <w:t>简介：</w:t>
      </w:r>
      <w:bookmarkEnd w:id="3"/>
    </w:p>
    <w:p w14:paraId="21534560">
      <w:pPr>
        <w:spacing w:before="120" w:after="120" w:line="288" w:lineRule="auto"/>
        <w:ind w:left="0"/>
        <w:jc w:val="left"/>
      </w:pPr>
      <w:r>
        <w:rPr>
          <w:rFonts w:ascii="Arial" w:hAnsi="Arial" w:eastAsia="等线" w:cs="Arial"/>
          <w:sz w:val="22"/>
        </w:rPr>
        <w:t>Brand Memorabilia—The Physical Form of Inspiration—is a tangible extension of brand culture. It translates abstract concepts, visual identity, and emotional value into everyday objects that can be touched and used, serving as an emotional bridge between the brand and its audience beyond functional purposes.</w:t>
      </w:r>
    </w:p>
    <w:p w14:paraId="64BF5F07">
      <w:pPr>
        <w:spacing w:before="300" w:after="120" w:line="288" w:lineRule="auto"/>
        <w:ind w:left="0"/>
        <w:jc w:val="left"/>
        <w:outlineLvl w:val="2"/>
      </w:pPr>
      <w:bookmarkStart w:id="4" w:name="heading_8"/>
      <w:r>
        <w:rPr>
          <w:rFonts w:ascii="Arial" w:hAnsi="Arial" w:eastAsia="等线" w:cs="Arial"/>
          <w:b/>
          <w:sz w:val="30"/>
        </w:rPr>
        <w:t>图片：</w:t>
      </w:r>
      <w:bookmarkEnd w:id="4"/>
    </w:p>
    <w:p w14:paraId="2C0603CC">
      <w:pPr>
        <w:spacing w:before="120" w:after="120" w:line="288" w:lineRule="auto"/>
        <w:ind w:left="0"/>
        <w:jc w:val="center"/>
      </w:pPr>
      <w:r>
        <w:drawing>
          <wp:inline distT="0" distB="0" distL="0" distR="0">
            <wp:extent cx="5257800" cy="3943350"/>
            <wp:effectExtent l="0" t="0" r="0" b="6350"/>
            <wp:docPr id="21" name="Drawing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Drawing 20"/>
                    <pic:cNvPicPr>
                      <a:picLocks noChangeAspect="1"/>
                    </pic:cNvPicPr>
                  </pic:nvPicPr>
                  <pic:blipFill>
                    <a:blip r:embed="rId6"/>
                    <a:stretch>
                      <a:fillRect/>
                    </a:stretch>
                  </pic:blipFill>
                  <pic:spPr>
                    <a:xfrm>
                      <a:off x="0" y="0"/>
                      <a:ext cx="5257800" cy="3943350"/>
                    </a:xfrm>
                    <a:prstGeom prst="rect">
                      <a:avLst/>
                    </a:prstGeom>
                  </pic:spPr>
                </pic:pic>
              </a:graphicData>
            </a:graphic>
          </wp:inline>
        </w:drawing>
      </w:r>
    </w:p>
    <w:p w14:paraId="67CD348D">
      <w:pPr>
        <w:spacing w:before="120" w:after="120" w:line="288" w:lineRule="auto"/>
        <w:ind w:left="0"/>
        <w:jc w:val="left"/>
      </w:pPr>
    </w:p>
    <w:p w14:paraId="6DAE55B6">
      <w:pPr>
        <w:spacing w:before="320" w:after="120" w:line="288" w:lineRule="auto"/>
        <w:ind w:left="0"/>
        <w:jc w:val="left"/>
        <w:outlineLvl w:val="1"/>
      </w:pPr>
      <w:bookmarkStart w:id="5" w:name="heading_9"/>
      <w:r>
        <w:rPr>
          <w:rFonts w:ascii="Arial" w:hAnsi="Arial" w:eastAsia="等线" w:cs="Arial"/>
          <w:b/>
          <w:sz w:val="32"/>
        </w:rPr>
        <w:t>内部页面:</w:t>
      </w:r>
      <w:bookmarkEnd w:id="5"/>
    </w:p>
    <w:p w14:paraId="7DD7D420">
      <w:pPr>
        <w:spacing w:before="300" w:after="120" w:line="288" w:lineRule="auto"/>
        <w:ind w:left="0"/>
        <w:jc w:val="left"/>
        <w:outlineLvl w:val="2"/>
      </w:pPr>
      <w:bookmarkStart w:id="6" w:name="heading_10"/>
      <w:r>
        <w:rPr>
          <w:rFonts w:ascii="Arial" w:hAnsi="Arial" w:eastAsia="等线" w:cs="Arial"/>
          <w:b/>
          <w:sz w:val="30"/>
        </w:rPr>
        <w:t>The Physical Form of Inspiration</w:t>
      </w:r>
      <w:bookmarkEnd w:id="6"/>
    </w:p>
    <w:p w14:paraId="0C09432F">
      <w:pPr>
        <w:spacing w:before="120" w:after="120" w:line="288" w:lineRule="auto"/>
        <w:ind w:left="0"/>
        <w:jc w:val="left"/>
      </w:pPr>
      <w:r>
        <w:rPr>
          <w:rFonts w:ascii="Arial" w:hAnsi="Arial" w:eastAsia="等线" w:cs="Arial"/>
          <w:sz w:val="22"/>
        </w:rPr>
        <w:t>Brand Memorabilia — The Physical Form of Inspiration — is a tangible extension of brand culture and a supplementary expression of brand narrative.</w:t>
      </w:r>
    </w:p>
    <w:p w14:paraId="14F45930">
      <w:pPr>
        <w:spacing w:before="120" w:after="120" w:line="288" w:lineRule="auto"/>
        <w:ind w:left="0"/>
        <w:jc w:val="left"/>
      </w:pPr>
      <w:r>
        <w:rPr>
          <w:rFonts w:ascii="Arial" w:hAnsi="Arial" w:eastAsia="等线" w:cs="Arial"/>
          <w:sz w:val="22"/>
        </w:rPr>
        <w:t>It currently encompasses two directions:</w:t>
      </w:r>
    </w:p>
    <w:p w14:paraId="721654CE">
      <w:pPr>
        <w:numPr>
          <w:ilvl w:val="0"/>
          <w:numId w:val="1"/>
        </w:numPr>
        <w:spacing w:before="120" w:after="120" w:line="288" w:lineRule="auto"/>
        <w:ind w:left="0"/>
        <w:jc w:val="left"/>
      </w:pPr>
      <w:r>
        <w:rPr>
          <w:rFonts w:ascii="Arial" w:hAnsi="Arial" w:eastAsia="等线" w:cs="Arial"/>
          <w:b/>
          <w:sz w:val="22"/>
        </w:rPr>
        <w:t xml:space="preserve">Everyday Aesthetics </w:t>
      </w:r>
      <w:r>
        <w:rPr>
          <w:rFonts w:ascii="Arial" w:hAnsi="Arial" w:eastAsia="等线" w:cs="Arial"/>
          <w:sz w:val="22"/>
        </w:rPr>
        <w:t>— focusing on tactile quality and daily usability, with brand visual cues woven naturally into real-life settings.</w:t>
      </w:r>
    </w:p>
    <w:p w14:paraId="4D9F2A07">
      <w:pPr>
        <w:numPr>
          <w:ilvl w:val="0"/>
          <w:numId w:val="2"/>
        </w:numPr>
        <w:spacing w:before="120" w:after="120" w:line="288" w:lineRule="auto"/>
        <w:ind w:left="0"/>
        <w:jc w:val="left"/>
      </w:pPr>
      <w:r>
        <w:rPr>
          <w:rFonts w:ascii="Arial" w:hAnsi="Arial" w:eastAsia="等线" w:cs="Arial"/>
          <w:b/>
          <w:sz w:val="22"/>
        </w:rPr>
        <w:t xml:space="preserve">Annual Gift Collection </w:t>
      </w:r>
      <w:r>
        <w:rPr>
          <w:rFonts w:ascii="Arial" w:hAnsi="Arial" w:eastAsia="等线" w:cs="Arial"/>
          <w:sz w:val="22"/>
        </w:rPr>
        <w:t>— focusing on scenario-based experiences and the ritual of gift-giving, conveying the brand's understanding of specific use cases through thoughtful curation and packaging design.</w:t>
      </w:r>
    </w:p>
    <w:p w14:paraId="12AF61FD">
      <w:pPr>
        <w:spacing w:before="120" w:after="120" w:line="288" w:lineRule="auto"/>
        <w:ind w:left="0"/>
        <w:jc w:val="left"/>
      </w:pPr>
      <w:r>
        <w:rPr>
          <w:rFonts w:ascii="Arial" w:hAnsi="Arial" w:eastAsia="等线" w:cs="Arial"/>
          <w:sz w:val="22"/>
        </w:rPr>
        <w:t>Brand memorabilia carries no narrative pressure from the main product line, nor does it pursue excessive expression. They exist quietly in the interstices of daily life—with measured design interventions, they complete a light, effortless dialogue between the brand and its people.</w:t>
      </w:r>
    </w:p>
    <w:p w14:paraId="5748BD4D">
      <w:pPr>
        <w:spacing w:before="120" w:after="120" w:line="288" w:lineRule="auto"/>
        <w:ind w:left="0"/>
        <w:jc w:val="center"/>
      </w:pPr>
      <w:r>
        <w:drawing>
          <wp:inline distT="0" distB="0" distL="0" distR="0">
            <wp:extent cx="5257800" cy="2447925"/>
            <wp:effectExtent l="0" t="0" r="0" b="3175"/>
            <wp:docPr id="22" name="Drawing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Drawing 21"/>
                    <pic:cNvPicPr>
                      <a:picLocks noChangeAspect="1"/>
                    </pic:cNvPicPr>
                  </pic:nvPicPr>
                  <pic:blipFill>
                    <a:blip r:embed="rId7"/>
                    <a:stretch>
                      <a:fillRect/>
                    </a:stretch>
                  </pic:blipFill>
                  <pic:spPr>
                    <a:xfrm>
                      <a:off x="0" y="0"/>
                      <a:ext cx="5257800" cy="2447925"/>
                    </a:xfrm>
                    <a:prstGeom prst="rect">
                      <a:avLst/>
                    </a:prstGeom>
                  </pic:spPr>
                </pic:pic>
              </a:graphicData>
            </a:graphic>
          </wp:inline>
        </w:drawing>
      </w:r>
    </w:p>
    <w:p w14:paraId="2275CFE2">
      <w:pPr>
        <w:spacing w:before="300" w:after="120" w:line="288" w:lineRule="auto"/>
        <w:ind w:left="0"/>
        <w:jc w:val="left"/>
        <w:outlineLvl w:val="2"/>
      </w:pPr>
      <w:bookmarkStart w:id="7" w:name="heading_11"/>
      <w:r>
        <w:rPr>
          <w:rFonts w:ascii="Arial" w:hAnsi="Arial" w:eastAsia="等线" w:cs="Arial"/>
          <w:b/>
          <w:sz w:val="30"/>
        </w:rPr>
        <w:t>Everyday Aesthetics</w:t>
      </w:r>
      <w:bookmarkEnd w:id="7"/>
    </w:p>
    <w:p w14:paraId="056F2094">
      <w:pPr>
        <w:spacing w:before="120" w:after="120" w:line="288" w:lineRule="auto"/>
        <w:ind w:left="0"/>
        <w:jc w:val="left"/>
      </w:pPr>
      <w:r>
        <w:rPr>
          <w:rFonts w:ascii="Arial" w:hAnsi="Arial" w:eastAsia="等线" w:cs="Arial"/>
          <w:sz w:val="22"/>
        </w:rPr>
        <w:t>The memorabilia closest to us are often the least conspicuous. They don’t mind the occasion, need no explanation, and ask for no attention. They simply settle into the corners of daily life—on collars, in backpack pockets, on fridge doors, within arm’s reach on a desk.</w:t>
      </w:r>
    </w:p>
    <w:p w14:paraId="51FE821E">
      <w:pPr>
        <w:spacing w:before="120" w:after="120" w:line="288" w:lineRule="auto"/>
        <w:ind w:left="0"/>
        <w:jc w:val="left"/>
      </w:pPr>
      <w:r>
        <w:rPr>
          <w:rFonts w:ascii="Arial" w:hAnsi="Arial" w:eastAsia="等线" w:cs="Arial"/>
          <w:sz w:val="22"/>
        </w:rPr>
        <w:t>Yet in this quiet companionship, the brand achieves its most profound connection: not to be seen, but to be owned; not to be remembered, but to be used.</w:t>
      </w:r>
    </w:p>
    <w:p w14:paraId="72C13508">
      <w:pPr>
        <w:spacing w:before="120" w:after="120" w:line="288" w:lineRule="auto"/>
        <w:ind w:left="0"/>
        <w:jc w:val="left"/>
      </w:pPr>
      <w:r>
        <w:rPr>
          <w:rFonts w:ascii="Arial" w:hAnsi="Arial" w:eastAsia="等线" w:cs="Arial"/>
          <w:sz w:val="22"/>
        </w:rPr>
        <w:t xml:space="preserve">This is the unique power of portable objects—turning the brand from something you </w:t>
      </w:r>
      <w:r>
        <w:rPr>
          <w:rFonts w:ascii="Arial" w:hAnsi="Arial" w:eastAsia="等线" w:cs="Arial"/>
          <w:i/>
          <w:sz w:val="22"/>
        </w:rPr>
        <w:t>see</w:t>
      </w:r>
      <w:r>
        <w:rPr>
          <w:rFonts w:ascii="Arial" w:hAnsi="Arial" w:eastAsia="等线" w:cs="Arial"/>
          <w:sz w:val="22"/>
        </w:rPr>
        <w:t xml:space="preserve"> into something that stays </w:t>
      </w:r>
      <w:r>
        <w:rPr>
          <w:rFonts w:ascii="Arial" w:hAnsi="Arial" w:eastAsia="等线" w:cs="Arial"/>
          <w:i/>
          <w:sz w:val="22"/>
        </w:rPr>
        <w:t>with</w:t>
      </w:r>
      <w:r>
        <w:rPr>
          <w:rFonts w:ascii="Arial" w:hAnsi="Arial" w:eastAsia="等线" w:cs="Arial"/>
          <w:sz w:val="22"/>
        </w:rPr>
        <w:t xml:space="preserve"> you.</w:t>
      </w:r>
    </w:p>
    <w:p w14:paraId="4B1CC78C">
      <w:pPr>
        <w:spacing w:before="120" w:after="120" w:line="288" w:lineRule="auto"/>
        <w:ind w:left="0"/>
        <w:jc w:val="center"/>
      </w:pPr>
      <w:r>
        <w:drawing>
          <wp:inline distT="0" distB="0" distL="0" distR="0">
            <wp:extent cx="5257800" cy="3505200"/>
            <wp:effectExtent l="0" t="0" r="0" b="0"/>
            <wp:docPr id="23" name="Drawing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Drawing 22"/>
                    <pic:cNvPicPr>
                      <a:picLocks noChangeAspect="1"/>
                    </pic:cNvPicPr>
                  </pic:nvPicPr>
                  <pic:blipFill>
                    <a:blip r:embed="rId8"/>
                    <a:stretch>
                      <a:fillRect/>
                    </a:stretch>
                  </pic:blipFill>
                  <pic:spPr>
                    <a:xfrm>
                      <a:off x="0" y="0"/>
                      <a:ext cx="5257800" cy="3505200"/>
                    </a:xfrm>
                    <a:prstGeom prst="rect">
                      <a:avLst/>
                    </a:prstGeom>
                  </pic:spPr>
                </pic:pic>
              </a:graphicData>
            </a:graphic>
          </wp:inline>
        </w:drawing>
      </w:r>
    </w:p>
    <w:p w14:paraId="714F7449">
      <w:pPr>
        <w:spacing w:before="300" w:after="120" w:line="288" w:lineRule="auto"/>
        <w:ind w:left="0"/>
        <w:jc w:val="left"/>
        <w:outlineLvl w:val="2"/>
      </w:pPr>
      <w:bookmarkStart w:id="8" w:name="heading_12"/>
      <w:r>
        <w:rPr>
          <w:rFonts w:ascii="Arial" w:hAnsi="Arial" w:eastAsia="等线" w:cs="Arial"/>
          <w:b/>
          <w:sz w:val="30"/>
        </w:rPr>
        <w:t>Annual Gift Collection</w:t>
      </w:r>
      <w:bookmarkEnd w:id="8"/>
    </w:p>
    <w:p w14:paraId="3199ED25">
      <w:pPr>
        <w:spacing w:before="120" w:after="120" w:line="288" w:lineRule="auto"/>
        <w:ind w:left="0"/>
        <w:jc w:val="left"/>
      </w:pPr>
      <w:r>
        <w:rPr>
          <w:rFonts w:ascii="Arial" w:hAnsi="Arial" w:eastAsia="等线" w:cs="Arial"/>
          <w:sz w:val="22"/>
        </w:rPr>
        <w:t>One box a year. Different every year.</w:t>
      </w:r>
    </w:p>
    <w:p w14:paraId="1A690374">
      <w:pPr>
        <w:spacing w:before="120" w:after="120" w:line="288" w:lineRule="auto"/>
        <w:ind w:left="0"/>
        <w:jc w:val="left"/>
      </w:pPr>
      <w:r>
        <w:rPr>
          <w:rFonts w:ascii="Arial" w:hAnsi="Arial" w:eastAsia="等线" w:cs="Arial"/>
          <w:sz w:val="22"/>
        </w:rPr>
        <w:t>It took five years to realize that each box is a time capsule—not of products, but of where the company stood and what we wanted to say to our recipients that year.</w:t>
      </w:r>
    </w:p>
    <w:p w14:paraId="4F736790">
      <w:pPr>
        <w:spacing w:before="120" w:after="120" w:line="288" w:lineRule="auto"/>
        <w:ind w:left="0"/>
        <w:jc w:val="left"/>
      </w:pPr>
      <w:r>
        <w:rPr>
          <w:rFonts w:ascii="Arial" w:hAnsi="Arial" w:eastAsia="等线" w:cs="Arial"/>
          <w:sz w:val="22"/>
        </w:rPr>
        <w:t xml:space="preserve">Lined up together, the five boxes show little consistency. Paper, fabric, steel, tea leaves, circuit boards—materials shift, directions turn, every year is different. And that very </w:t>
      </w:r>
      <w:r>
        <w:rPr>
          <w:rFonts w:ascii="Arial" w:hAnsi="Arial" w:eastAsia="等线" w:cs="Arial"/>
          <w:i/>
          <w:sz w:val="22"/>
        </w:rPr>
        <w:t>difference</w:t>
      </w:r>
      <w:r>
        <w:rPr>
          <w:rFonts w:ascii="Arial" w:hAnsi="Arial" w:eastAsia="等线" w:cs="Arial"/>
          <w:sz w:val="22"/>
        </w:rPr>
        <w:t xml:space="preserve"> is the true hallmark of this series. We never followed a fixed template; instead, we asked ourselves anew each year: What did we do this year? What do we want to say? What best represents us right now?</w:t>
      </w:r>
    </w:p>
    <w:p w14:paraId="41FA5978">
      <w:pPr>
        <w:spacing w:before="120" w:after="120" w:line="288" w:lineRule="auto"/>
        <w:ind w:left="0"/>
        <w:jc w:val="left"/>
      </w:pPr>
      <w:r>
        <w:rPr>
          <w:rFonts w:ascii="Arial" w:hAnsi="Arial" w:eastAsia="等线" w:cs="Arial"/>
          <w:sz w:val="22"/>
        </w:rPr>
        <w:t>The answers were never the same.</w:t>
      </w:r>
    </w:p>
    <w:p w14:paraId="7D751CFA">
      <w:pPr>
        <w:spacing w:before="120" w:after="120" w:line="288" w:lineRule="auto"/>
        <w:ind w:left="0"/>
        <w:jc w:val="left"/>
      </w:pPr>
      <w:r>
        <w:rPr>
          <w:rFonts w:ascii="Arial" w:hAnsi="Arial" w:eastAsia="等线" w:cs="Arial"/>
          <w:b/>
          <w:sz w:val="22"/>
        </w:rPr>
        <w:t>2022 · Riding the Waves New Year Box</w:t>
      </w:r>
    </w:p>
    <w:p w14:paraId="36D9D94F">
      <w:pPr>
        <w:spacing w:before="120" w:after="120" w:line="288" w:lineRule="auto"/>
        <w:ind w:left="0"/>
        <w:jc w:val="left"/>
      </w:pPr>
      <w:r>
        <w:rPr>
          <w:rFonts w:ascii="Arial" w:hAnsi="Arial" w:eastAsia="等线" w:cs="Arial"/>
          <w:sz w:val="22"/>
        </w:rPr>
        <w:t>Filled with objects to post, flip, and tear off—echoing that year's rhythm: turning the page. Each flip, a small farewell and a new beginning.</w:t>
      </w:r>
    </w:p>
    <w:p w14:paraId="2E5BA421">
      <w:pPr>
        <w:spacing w:before="120" w:after="120" w:line="288" w:lineRule="auto"/>
        <w:ind w:left="0"/>
        <w:jc w:val="center"/>
      </w:pPr>
      <w:r>
        <w:drawing>
          <wp:inline distT="0" distB="0" distL="0" distR="0">
            <wp:extent cx="5257800" cy="2952750"/>
            <wp:effectExtent l="0" t="0" r="0" b="6350"/>
            <wp:docPr id="24" name="Drawing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Drawing 23"/>
                    <pic:cNvPicPr>
                      <a:picLocks noChangeAspect="1"/>
                    </pic:cNvPicPr>
                  </pic:nvPicPr>
                  <pic:blipFill>
                    <a:blip r:embed="rId9"/>
                    <a:stretch>
                      <a:fillRect/>
                    </a:stretch>
                  </pic:blipFill>
                  <pic:spPr>
                    <a:xfrm>
                      <a:off x="0" y="0"/>
                      <a:ext cx="5257800" cy="2952750"/>
                    </a:xfrm>
                    <a:prstGeom prst="rect">
                      <a:avLst/>
                    </a:prstGeom>
                  </pic:spPr>
                </pic:pic>
              </a:graphicData>
            </a:graphic>
          </wp:inline>
        </w:drawing>
      </w:r>
    </w:p>
    <w:p w14:paraId="4F02963A">
      <w:pPr>
        <w:spacing w:before="120" w:after="120" w:line="288" w:lineRule="auto"/>
        <w:ind w:left="0"/>
        <w:jc w:val="left"/>
      </w:pPr>
    </w:p>
    <w:p w14:paraId="4727C723">
      <w:pPr>
        <w:spacing w:before="120" w:after="120" w:line="288" w:lineRule="auto"/>
        <w:ind w:left="0"/>
        <w:jc w:val="left"/>
      </w:pPr>
      <w:r>
        <w:rPr>
          <w:rFonts w:ascii="Arial" w:hAnsi="Arial" w:eastAsia="等线" w:cs="Arial"/>
          <w:b/>
          <w:sz w:val="22"/>
        </w:rPr>
        <w:t>2023 · On‑the‑Go Nap Care Package</w:t>
      </w:r>
    </w:p>
    <w:p w14:paraId="43B114D7">
      <w:pPr>
        <w:spacing w:before="120" w:after="120" w:line="288" w:lineRule="auto"/>
        <w:ind w:left="0"/>
        <w:jc w:val="left"/>
      </w:pPr>
      <w:r>
        <w:rPr>
          <w:rFonts w:ascii="Arial" w:hAnsi="Arial" w:eastAsia="等线" w:cs="Arial"/>
          <w:sz w:val="22"/>
        </w:rPr>
        <w:t>From paper to fabric—a complete napping set. Amid the busyness, a moment to close your eyes in peace.</w:t>
      </w:r>
    </w:p>
    <w:p w14:paraId="37ADC565">
      <w:pPr>
        <w:spacing w:before="120" w:after="120" w:line="288" w:lineRule="auto"/>
        <w:ind w:left="0"/>
        <w:jc w:val="center"/>
      </w:pPr>
      <w:r>
        <w:drawing>
          <wp:inline distT="0" distB="0" distL="0" distR="0">
            <wp:extent cx="5257800" cy="2952750"/>
            <wp:effectExtent l="0" t="0" r="0" b="6350"/>
            <wp:docPr id="25" name="Drawing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Drawing 24"/>
                    <pic:cNvPicPr>
                      <a:picLocks noChangeAspect="1"/>
                    </pic:cNvPicPr>
                  </pic:nvPicPr>
                  <pic:blipFill>
                    <a:blip r:embed="rId10"/>
                    <a:stretch>
                      <a:fillRect/>
                    </a:stretch>
                  </pic:blipFill>
                  <pic:spPr>
                    <a:xfrm>
                      <a:off x="0" y="0"/>
                      <a:ext cx="5257800" cy="2952750"/>
                    </a:xfrm>
                    <a:prstGeom prst="rect">
                      <a:avLst/>
                    </a:prstGeom>
                  </pic:spPr>
                </pic:pic>
              </a:graphicData>
            </a:graphic>
          </wp:inline>
        </w:drawing>
      </w:r>
    </w:p>
    <w:p w14:paraId="1628B7FF">
      <w:pPr>
        <w:spacing w:before="120" w:after="120" w:line="288" w:lineRule="auto"/>
        <w:ind w:left="0"/>
        <w:jc w:val="left"/>
      </w:pPr>
    </w:p>
    <w:p w14:paraId="5210CDD0">
      <w:pPr>
        <w:spacing w:before="120" w:after="120" w:line="288" w:lineRule="auto"/>
        <w:ind w:left="0"/>
        <w:jc w:val="left"/>
      </w:pPr>
      <w:r>
        <w:rPr>
          <w:rFonts w:ascii="Arial" w:hAnsi="Arial" w:eastAsia="等线" w:cs="Arial"/>
          <w:b/>
          <w:sz w:val="22"/>
        </w:rPr>
        <w:t>2024 · Field Mini Toolkit</w:t>
      </w:r>
    </w:p>
    <w:p w14:paraId="0DA2BB6B">
      <w:pPr>
        <w:spacing w:before="120" w:after="120" w:line="288" w:lineRule="auto"/>
        <w:ind w:left="0"/>
        <w:jc w:val="left"/>
      </w:pPr>
      <w:r>
        <w:rPr>
          <w:rFonts w:ascii="Arial" w:hAnsi="Arial" w:eastAsia="等线" w:cs="Arial"/>
          <w:sz w:val="22"/>
        </w:rPr>
        <w:t>That year, our gaze turned outdoors. Each item hints at "heading out." What we wanted to say: Let's go outside.</w:t>
      </w:r>
    </w:p>
    <w:p w14:paraId="51CE729D">
      <w:pPr>
        <w:spacing w:before="120" w:after="120" w:line="288" w:lineRule="auto"/>
        <w:ind w:left="0"/>
        <w:jc w:val="center"/>
      </w:pPr>
      <w:r>
        <w:drawing>
          <wp:inline distT="0" distB="0" distL="0" distR="0">
            <wp:extent cx="5257800" cy="4200525"/>
            <wp:effectExtent l="0" t="0" r="0" b="3175"/>
            <wp:docPr id="26" name="Drawing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Drawing 25"/>
                    <pic:cNvPicPr>
                      <a:picLocks noChangeAspect="1"/>
                    </pic:cNvPicPr>
                  </pic:nvPicPr>
                  <pic:blipFill>
                    <a:blip r:embed="rId11"/>
                    <a:stretch>
                      <a:fillRect/>
                    </a:stretch>
                  </pic:blipFill>
                  <pic:spPr>
                    <a:xfrm>
                      <a:off x="0" y="0"/>
                      <a:ext cx="5257800" cy="4200525"/>
                    </a:xfrm>
                    <a:prstGeom prst="rect">
                      <a:avLst/>
                    </a:prstGeom>
                  </pic:spPr>
                </pic:pic>
              </a:graphicData>
            </a:graphic>
          </wp:inline>
        </w:drawing>
      </w:r>
    </w:p>
    <w:p w14:paraId="0045F833">
      <w:pPr>
        <w:spacing w:before="120" w:after="120" w:line="288" w:lineRule="auto"/>
        <w:ind w:left="0"/>
        <w:jc w:val="left"/>
      </w:pPr>
    </w:p>
    <w:p w14:paraId="4250B69F">
      <w:pPr>
        <w:spacing w:before="120" w:after="120" w:line="288" w:lineRule="auto"/>
        <w:ind w:left="0"/>
        <w:jc w:val="left"/>
      </w:pPr>
      <w:r>
        <w:rPr>
          <w:rFonts w:ascii="Arial" w:hAnsi="Arial" w:eastAsia="等线" w:cs="Arial"/>
          <w:b/>
          <w:sz w:val="22"/>
        </w:rPr>
        <w:t>2025 · Xinuo · IoTea</w:t>
      </w:r>
    </w:p>
    <w:p w14:paraId="3940453F">
      <w:pPr>
        <w:spacing w:before="120" w:after="120" w:line="288" w:lineRule="auto"/>
        <w:ind w:left="0"/>
        <w:jc w:val="left"/>
      </w:pPr>
      <w:r>
        <w:rPr>
          <w:rFonts w:ascii="Arial" w:hAnsi="Arial" w:eastAsia="等线" w:cs="Arial"/>
          <w:sz w:val="22"/>
        </w:rPr>
        <w:t>No matter how far you roam, come back for a cup of tea. IoT meets the tea garden—a box that releases the scent of the hills when opened.</w:t>
      </w:r>
    </w:p>
    <w:p w14:paraId="2C569147">
      <w:pPr>
        <w:spacing w:before="120" w:after="120" w:line="288" w:lineRule="auto"/>
        <w:ind w:left="0"/>
        <w:jc w:val="center"/>
      </w:pPr>
      <w:r>
        <w:drawing>
          <wp:inline distT="0" distB="0" distL="0" distR="0">
            <wp:extent cx="5257800" cy="3933825"/>
            <wp:effectExtent l="0" t="0" r="0" b="3175"/>
            <wp:docPr id="27" name="Drawing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Drawing 26"/>
                    <pic:cNvPicPr>
                      <a:picLocks noChangeAspect="1"/>
                    </pic:cNvPicPr>
                  </pic:nvPicPr>
                  <pic:blipFill>
                    <a:blip r:embed="rId12"/>
                    <a:stretch>
                      <a:fillRect/>
                    </a:stretch>
                  </pic:blipFill>
                  <pic:spPr>
                    <a:xfrm>
                      <a:off x="0" y="0"/>
                      <a:ext cx="5257800" cy="3933825"/>
                    </a:xfrm>
                    <a:prstGeom prst="rect">
                      <a:avLst/>
                    </a:prstGeom>
                  </pic:spPr>
                </pic:pic>
              </a:graphicData>
            </a:graphic>
          </wp:inline>
        </w:drawing>
      </w:r>
    </w:p>
    <w:p w14:paraId="77FDC204">
      <w:pPr>
        <w:spacing w:before="120" w:after="120" w:line="288" w:lineRule="auto"/>
        <w:ind w:left="0"/>
        <w:jc w:val="left"/>
      </w:pPr>
      <w:r>
        <w:rPr>
          <w:rFonts w:ascii="Arial" w:hAnsi="Arial" w:eastAsia="等线" w:cs="Arial"/>
          <w:b/>
          <w:sz w:val="22"/>
        </w:rPr>
        <w:t>2026 · Mega Evolution</w:t>
      </w:r>
    </w:p>
    <w:p w14:paraId="799DF717">
      <w:pPr>
        <w:spacing w:before="120" w:after="120" w:line="288" w:lineRule="auto"/>
        <w:ind w:left="0"/>
        <w:jc w:val="left"/>
      </w:pPr>
      <w:r>
        <w:rPr>
          <w:rFonts w:ascii="Arial" w:hAnsi="Arial" w:eastAsia="等线" w:cs="Arial"/>
          <w:sz w:val="22"/>
        </w:rPr>
        <w:t>Year five. The Mega Evolution box—three layers, opened one by one. Ritual, practicality, and tech, all inside. It marks a milestone and a dash forward, pointing the way ahead.</w:t>
      </w:r>
    </w:p>
    <w:p w14:paraId="59E848E6">
      <w:pPr>
        <w:spacing w:before="120" w:after="120" w:line="288" w:lineRule="auto"/>
        <w:ind w:left="0"/>
        <w:jc w:val="center"/>
      </w:pPr>
      <w:r>
        <w:drawing>
          <wp:inline distT="0" distB="0" distL="0" distR="0">
            <wp:extent cx="5257800" cy="2952750"/>
            <wp:effectExtent l="0" t="0" r="0" b="6350"/>
            <wp:docPr id="28" name="Drawing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Drawing 27"/>
                    <pic:cNvPicPr>
                      <a:picLocks noChangeAspect="1"/>
                    </pic:cNvPicPr>
                  </pic:nvPicPr>
                  <pic:blipFill>
                    <a:blip r:embed="rId13"/>
                    <a:stretch>
                      <a:fillRect/>
                    </a:stretch>
                  </pic:blipFill>
                  <pic:spPr>
                    <a:xfrm>
                      <a:off x="0" y="0"/>
                      <a:ext cx="5257800" cy="2952750"/>
                    </a:xfrm>
                    <a:prstGeom prst="rect">
                      <a:avLst/>
                    </a:prstGeom>
                  </pic:spPr>
                </pic:pic>
              </a:graphicData>
            </a:graphic>
          </wp:inline>
        </w:drawing>
      </w:r>
    </w:p>
    <w:p w14:paraId="7F373997">
      <w:pPr>
        <w:spacing w:before="120" w:after="120" w:line="288" w:lineRule="auto"/>
        <w:ind w:left="0"/>
        <w:jc w:val="left"/>
      </w:pPr>
    </w:p>
    <w:p w14:paraId="3B9E349A">
      <w:pPr>
        <w:spacing w:before="120" w:after="120" w:line="288" w:lineRule="auto"/>
        <w:ind w:left="0"/>
        <w:jc w:val="left"/>
      </w:pPr>
      <w:r>
        <w:rPr>
          <w:rFonts w:ascii="Arial" w:hAnsi="Arial" w:eastAsia="等线" w:cs="Arial"/>
          <w:sz w:val="22"/>
        </w:rPr>
        <w:t>Five years on, the contents have changed endlessly, but the reason never has:</w:t>
      </w:r>
      <w:r>
        <w:rPr>
          <w:rFonts w:ascii="Arial" w:hAnsi="Arial" w:eastAsia="等线" w:cs="Arial"/>
          <w:sz w:val="22"/>
        </w:rPr>
        <w:br w:type="textWrapping"/>
      </w:r>
      <w:r>
        <w:rPr>
          <w:rFonts w:ascii="Arial" w:hAnsi="Arial" w:eastAsia="等线" w:cs="Arial"/>
          <w:sz w:val="22"/>
        </w:rPr>
        <w:t>At the end of every year, we offer a tangible token of gratitude, on behalf of the brand, to everyone who has walked alongside us—</w:t>
      </w:r>
      <w:r>
        <w:rPr>
          <w:rFonts w:ascii="Arial" w:hAnsi="Arial" w:eastAsia="等线" w:cs="Arial"/>
          <w:sz w:val="22"/>
        </w:rPr>
        <w:br w:type="textWrapping"/>
      </w:r>
      <w:r>
        <w:rPr>
          <w:rFonts w:ascii="Arial" w:hAnsi="Arial" w:eastAsia="等线" w:cs="Arial"/>
          <w:i/>
          <w:sz w:val="22"/>
        </w:rPr>
        <w:t>Thank you. See you next year.</w:t>
      </w:r>
    </w:p>
    <w:p w14:paraId="7C0525E8">
      <w:pPr>
        <w:spacing w:before="120" w:after="120" w:line="288" w:lineRule="auto"/>
        <w:ind w:left="0"/>
        <w:jc w:val="left"/>
      </w:pPr>
    </w:p>
    <w:p w14:paraId="5C4C3ED5">
      <w:pPr>
        <w:spacing w:before="300" w:after="120" w:line="288" w:lineRule="auto"/>
        <w:ind w:left="0"/>
        <w:jc w:val="left"/>
        <w:outlineLvl w:val="2"/>
      </w:pPr>
      <w:bookmarkStart w:id="9" w:name="heading_13"/>
      <w:r>
        <w:rPr>
          <w:rFonts w:ascii="Arial" w:hAnsi="Arial" w:eastAsia="等线" w:cs="Arial"/>
          <w:b/>
          <w:sz w:val="30"/>
        </w:rPr>
        <w:t>Deconstruction Special: Mega Evolution</w:t>
      </w:r>
      <w:bookmarkEnd w:id="9"/>
    </w:p>
    <w:p w14:paraId="2BF493C1">
      <w:pPr>
        <w:spacing w:before="120" w:after="120" w:line="288" w:lineRule="auto"/>
        <w:ind w:left="0"/>
        <w:jc w:val="left"/>
      </w:pPr>
      <w:r>
        <w:rPr>
          <w:rFonts w:ascii="Arial" w:hAnsi="Arial" w:eastAsia="等线" w:cs="Arial"/>
          <w:i/>
          <w:sz w:val="22"/>
        </w:rPr>
        <w:t>Mega Evolution</w:t>
      </w:r>
      <w:r>
        <w:rPr>
          <w:rFonts w:ascii="Arial" w:hAnsi="Arial" w:eastAsia="等线" w:cs="Arial"/>
          <w:sz w:val="22"/>
        </w:rPr>
        <w:t xml:space="preserve"> is a gift about crossing boundaries—between the physical and the digital.</w:t>
      </w:r>
    </w:p>
    <w:p w14:paraId="649CA525">
      <w:pPr>
        <w:spacing w:before="120" w:after="120" w:line="288" w:lineRule="auto"/>
        <w:ind w:left="0"/>
        <w:jc w:val="left"/>
      </w:pPr>
      <w:r>
        <w:rPr>
          <w:rFonts w:ascii="Arial" w:hAnsi="Arial" w:eastAsia="等线" w:cs="Arial"/>
          <w:sz w:val="22"/>
        </w:rPr>
        <w:t>The shell is transparent, revealing its structure at a glance: tea on the top layer, a link card in the middle, and a cup at the bottom. Like an exploded view of a product, opening is deconstruction, and deconstruction is reading.</w:t>
      </w:r>
    </w:p>
    <w:p w14:paraId="5BF28ABA">
      <w:pPr>
        <w:spacing w:before="120" w:after="120" w:line="288" w:lineRule="auto"/>
        <w:ind w:left="0"/>
        <w:jc w:val="center"/>
      </w:pPr>
      <w:r>
        <w:drawing>
          <wp:inline distT="0" distB="0" distL="0" distR="0">
            <wp:extent cx="5257800" cy="2952750"/>
            <wp:effectExtent l="0" t="0" r="0" b="6350"/>
            <wp:docPr id="29" name="Drawing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Drawing 28"/>
                    <pic:cNvPicPr>
                      <a:picLocks noChangeAspect="1"/>
                    </pic:cNvPicPr>
                  </pic:nvPicPr>
                  <pic:blipFill>
                    <a:blip r:embed="rId14"/>
                    <a:stretch>
                      <a:fillRect/>
                    </a:stretch>
                  </pic:blipFill>
                  <pic:spPr>
                    <a:xfrm>
                      <a:off x="0" y="0"/>
                      <a:ext cx="5257800" cy="2952750"/>
                    </a:xfrm>
                    <a:prstGeom prst="rect">
                      <a:avLst/>
                    </a:prstGeom>
                  </pic:spPr>
                </pic:pic>
              </a:graphicData>
            </a:graphic>
          </wp:inline>
        </w:drawing>
      </w:r>
    </w:p>
    <w:p w14:paraId="6CA948A6">
      <w:pPr>
        <w:spacing w:before="120" w:after="120" w:line="288" w:lineRule="auto"/>
        <w:ind w:left="0"/>
        <w:jc w:val="left"/>
      </w:pPr>
      <w:r>
        <w:rPr>
          <w:rFonts w:ascii="Arial" w:hAnsi="Arial" w:eastAsia="等线" w:cs="Arial"/>
          <w:sz w:val="22"/>
        </w:rPr>
        <w:t>The lines on the packaging draw from two sources: the human symbols on the 1977 Voyager Golden Record, and the circuit traces of a PCB. One points to the cosmos, the other to the digital world. The green patterns transform circuit traces into the shapes of mountains and water—where cold industrial structure meets Eastern natural imagery, and PCB coexists with tea in a single box.</w:t>
      </w:r>
    </w:p>
    <w:tbl>
      <w:tblPr>
        <w:tblStyle w:val="2"/>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 w:type="dxa"/>
          <w:bottom w:w="0" w:type="dxa"/>
          <w:right w:w="10" w:type="dxa"/>
        </w:tblCellMar>
      </w:tblPr>
      <w:tblGrid>
        <w:gridCol w:w="2760"/>
        <w:gridCol w:w="2760"/>
        <w:gridCol w:w="2760"/>
      </w:tblGrid>
      <w:tr w14:paraId="099039D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 w:type="dxa"/>
            <w:bottom w:w="0" w:type="dxa"/>
            <w:right w:w="10" w:type="dxa"/>
          </w:tblCellMar>
        </w:tblPrEx>
        <w:tc>
          <w:tcPr>
            <w:tcW w:w="2760" w:type="dxa"/>
            <w:tcMar>
              <w:top w:w="60" w:type="dxa"/>
              <w:left w:w="120" w:type="dxa"/>
              <w:bottom w:w="30" w:type="dxa"/>
              <w:right w:w="120" w:type="dxa"/>
            </w:tcMar>
          </w:tcPr>
          <w:p w14:paraId="6F26904C">
            <w:pPr>
              <w:spacing w:before="120" w:after="120" w:line="288" w:lineRule="auto"/>
              <w:ind w:left="0"/>
              <w:jc w:val="center"/>
            </w:pPr>
            <w:r>
              <w:drawing>
                <wp:inline distT="0" distB="0" distL="0" distR="0">
                  <wp:extent cx="1600200" cy="895350"/>
                  <wp:effectExtent l="0" t="0" r="0" b="6350"/>
                  <wp:docPr id="30" name="Drawing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Drawing 29"/>
                          <pic:cNvPicPr>
                            <a:picLocks noChangeAspect="1"/>
                          </pic:cNvPicPr>
                        </pic:nvPicPr>
                        <pic:blipFill>
                          <a:blip r:embed="rId15"/>
                          <a:stretch>
                            <a:fillRect/>
                          </a:stretch>
                        </pic:blipFill>
                        <pic:spPr>
                          <a:xfrm>
                            <a:off x="0" y="0"/>
                            <a:ext cx="1600200" cy="895350"/>
                          </a:xfrm>
                          <a:prstGeom prst="rect">
                            <a:avLst/>
                          </a:prstGeom>
                        </pic:spPr>
                      </pic:pic>
                    </a:graphicData>
                  </a:graphic>
                </wp:inline>
              </w:drawing>
            </w:r>
          </w:p>
        </w:tc>
        <w:tc>
          <w:tcPr>
            <w:tcW w:w="2760" w:type="dxa"/>
            <w:tcMar>
              <w:top w:w="60" w:type="dxa"/>
              <w:left w:w="120" w:type="dxa"/>
              <w:bottom w:w="30" w:type="dxa"/>
              <w:right w:w="120" w:type="dxa"/>
            </w:tcMar>
          </w:tcPr>
          <w:p w14:paraId="04B73CE8">
            <w:pPr>
              <w:spacing w:before="120" w:after="120" w:line="288" w:lineRule="auto"/>
              <w:ind w:left="0"/>
              <w:jc w:val="center"/>
            </w:pPr>
            <w:r>
              <w:drawing>
                <wp:inline distT="0" distB="0" distL="0" distR="0">
                  <wp:extent cx="1600200" cy="895350"/>
                  <wp:effectExtent l="0" t="0" r="0" b="6350"/>
                  <wp:docPr id="31" name="Drawing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Drawing 30"/>
                          <pic:cNvPicPr>
                            <a:picLocks noChangeAspect="1"/>
                          </pic:cNvPicPr>
                        </pic:nvPicPr>
                        <pic:blipFill>
                          <a:blip r:embed="rId16"/>
                          <a:stretch>
                            <a:fillRect/>
                          </a:stretch>
                        </pic:blipFill>
                        <pic:spPr>
                          <a:xfrm>
                            <a:off x="0" y="0"/>
                            <a:ext cx="1600200" cy="895350"/>
                          </a:xfrm>
                          <a:prstGeom prst="rect">
                            <a:avLst/>
                          </a:prstGeom>
                        </pic:spPr>
                      </pic:pic>
                    </a:graphicData>
                  </a:graphic>
                </wp:inline>
              </w:drawing>
            </w:r>
          </w:p>
        </w:tc>
        <w:tc>
          <w:tcPr>
            <w:tcW w:w="2760" w:type="dxa"/>
            <w:tcMar>
              <w:top w:w="60" w:type="dxa"/>
              <w:left w:w="120" w:type="dxa"/>
              <w:bottom w:w="30" w:type="dxa"/>
              <w:right w:w="120" w:type="dxa"/>
            </w:tcMar>
          </w:tcPr>
          <w:p w14:paraId="20078B4C">
            <w:pPr>
              <w:spacing w:before="120" w:after="120" w:line="288" w:lineRule="auto"/>
              <w:ind w:left="0"/>
              <w:jc w:val="center"/>
            </w:pPr>
            <w:r>
              <w:drawing>
                <wp:inline distT="0" distB="0" distL="0" distR="0">
                  <wp:extent cx="1600200" cy="895350"/>
                  <wp:effectExtent l="0" t="0" r="0" b="6350"/>
                  <wp:docPr id="32" name="Drawing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Drawing 31"/>
                          <pic:cNvPicPr>
                            <a:picLocks noChangeAspect="1"/>
                          </pic:cNvPicPr>
                        </pic:nvPicPr>
                        <pic:blipFill>
                          <a:blip r:embed="rId17"/>
                          <a:stretch>
                            <a:fillRect/>
                          </a:stretch>
                        </pic:blipFill>
                        <pic:spPr>
                          <a:xfrm>
                            <a:off x="0" y="0"/>
                            <a:ext cx="1600200" cy="895350"/>
                          </a:xfrm>
                          <a:prstGeom prst="rect">
                            <a:avLst/>
                          </a:prstGeom>
                        </pic:spPr>
                      </pic:pic>
                    </a:graphicData>
                  </a:graphic>
                </wp:inline>
              </w:drawing>
            </w:r>
          </w:p>
        </w:tc>
      </w:tr>
    </w:tbl>
    <w:p w14:paraId="7F622BFF">
      <w:pPr>
        <w:spacing w:before="120" w:after="120" w:line="288" w:lineRule="auto"/>
        <w:ind w:left="0"/>
        <w:jc w:val="left"/>
      </w:pPr>
      <w:r>
        <w:rPr>
          <w:rFonts w:ascii="Arial" w:hAnsi="Arial" w:eastAsia="等线" w:cs="Arial"/>
          <w:sz w:val="22"/>
        </w:rPr>
        <w:t>Each of the three layers has its role: tea offers taste, the link card enables connection, and the cup provides a vessel.</w:t>
      </w:r>
    </w:p>
    <w:tbl>
      <w:tblPr>
        <w:tblStyle w:val="2"/>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 w:type="dxa"/>
          <w:bottom w:w="0" w:type="dxa"/>
          <w:right w:w="10" w:type="dxa"/>
        </w:tblCellMar>
      </w:tblPr>
      <w:tblGrid>
        <w:gridCol w:w="2759"/>
        <w:gridCol w:w="2759"/>
        <w:gridCol w:w="2760"/>
      </w:tblGrid>
      <w:tr w14:paraId="518003F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 w:type="dxa"/>
            <w:bottom w:w="0" w:type="dxa"/>
            <w:right w:w="10" w:type="dxa"/>
          </w:tblCellMar>
        </w:tblPrEx>
        <w:tc>
          <w:tcPr>
            <w:tcW w:w="2759" w:type="dxa"/>
            <w:tcMar>
              <w:top w:w="60" w:type="dxa"/>
              <w:left w:w="120" w:type="dxa"/>
              <w:bottom w:w="30" w:type="dxa"/>
              <w:right w:w="120" w:type="dxa"/>
            </w:tcMar>
          </w:tcPr>
          <w:p w14:paraId="5D37A0C9">
            <w:pPr>
              <w:spacing w:before="120" w:after="120" w:line="288" w:lineRule="auto"/>
              <w:ind w:left="0"/>
              <w:jc w:val="center"/>
            </w:pPr>
            <w:r>
              <w:drawing>
                <wp:inline distT="0" distB="0" distL="0" distR="0">
                  <wp:extent cx="1590675" cy="895350"/>
                  <wp:effectExtent l="0" t="0" r="9525" b="6350"/>
                  <wp:docPr id="33" name="Drawing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Drawing 32"/>
                          <pic:cNvPicPr>
                            <a:picLocks noChangeAspect="1"/>
                          </pic:cNvPicPr>
                        </pic:nvPicPr>
                        <pic:blipFill>
                          <a:blip r:embed="rId18"/>
                          <a:stretch>
                            <a:fillRect/>
                          </a:stretch>
                        </pic:blipFill>
                        <pic:spPr>
                          <a:xfrm>
                            <a:off x="0" y="0"/>
                            <a:ext cx="1590675" cy="895350"/>
                          </a:xfrm>
                          <a:prstGeom prst="rect">
                            <a:avLst/>
                          </a:prstGeom>
                        </pic:spPr>
                      </pic:pic>
                    </a:graphicData>
                  </a:graphic>
                </wp:inline>
              </w:drawing>
            </w:r>
          </w:p>
        </w:tc>
        <w:tc>
          <w:tcPr>
            <w:tcW w:w="2759" w:type="dxa"/>
            <w:tcMar>
              <w:top w:w="60" w:type="dxa"/>
              <w:left w:w="120" w:type="dxa"/>
              <w:bottom w:w="30" w:type="dxa"/>
              <w:right w:w="120" w:type="dxa"/>
            </w:tcMar>
          </w:tcPr>
          <w:p w14:paraId="7C732912">
            <w:pPr>
              <w:spacing w:before="120" w:after="120" w:line="288" w:lineRule="auto"/>
              <w:ind w:left="0"/>
              <w:jc w:val="center"/>
            </w:pPr>
            <w:r>
              <w:drawing>
                <wp:inline distT="0" distB="0" distL="0" distR="0">
                  <wp:extent cx="1590675" cy="895350"/>
                  <wp:effectExtent l="0" t="0" r="9525" b="6350"/>
                  <wp:docPr id="34" name="Drawing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Drawing 33"/>
                          <pic:cNvPicPr>
                            <a:picLocks noChangeAspect="1"/>
                          </pic:cNvPicPr>
                        </pic:nvPicPr>
                        <pic:blipFill>
                          <a:blip r:embed="rId19"/>
                          <a:stretch>
                            <a:fillRect/>
                          </a:stretch>
                        </pic:blipFill>
                        <pic:spPr>
                          <a:xfrm>
                            <a:off x="0" y="0"/>
                            <a:ext cx="1590675" cy="895350"/>
                          </a:xfrm>
                          <a:prstGeom prst="rect">
                            <a:avLst/>
                          </a:prstGeom>
                        </pic:spPr>
                      </pic:pic>
                    </a:graphicData>
                  </a:graphic>
                </wp:inline>
              </w:drawing>
            </w:r>
          </w:p>
        </w:tc>
        <w:tc>
          <w:tcPr>
            <w:tcW w:w="2760" w:type="dxa"/>
            <w:tcMar>
              <w:top w:w="60" w:type="dxa"/>
              <w:left w:w="120" w:type="dxa"/>
              <w:bottom w:w="30" w:type="dxa"/>
              <w:right w:w="120" w:type="dxa"/>
            </w:tcMar>
          </w:tcPr>
          <w:p w14:paraId="0D997549">
            <w:pPr>
              <w:spacing w:before="120" w:after="120" w:line="288" w:lineRule="auto"/>
              <w:ind w:left="0"/>
              <w:jc w:val="center"/>
            </w:pPr>
            <w:r>
              <w:drawing>
                <wp:inline distT="0" distB="0" distL="0" distR="0">
                  <wp:extent cx="1600200" cy="895350"/>
                  <wp:effectExtent l="0" t="0" r="0" b="6350"/>
                  <wp:docPr id="35" name="Drawing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Drawing 34"/>
                          <pic:cNvPicPr>
                            <a:picLocks noChangeAspect="1"/>
                          </pic:cNvPicPr>
                        </pic:nvPicPr>
                        <pic:blipFill>
                          <a:blip r:embed="rId20"/>
                          <a:stretch>
                            <a:fillRect/>
                          </a:stretch>
                        </pic:blipFill>
                        <pic:spPr>
                          <a:xfrm>
                            <a:off x="0" y="0"/>
                            <a:ext cx="1600200" cy="895350"/>
                          </a:xfrm>
                          <a:prstGeom prst="rect">
                            <a:avLst/>
                          </a:prstGeom>
                        </pic:spPr>
                      </pic:pic>
                    </a:graphicData>
                  </a:graphic>
                </wp:inline>
              </w:drawing>
            </w:r>
          </w:p>
        </w:tc>
      </w:tr>
    </w:tbl>
    <w:p w14:paraId="7996E8E6">
      <w:pPr>
        <w:spacing w:before="120" w:after="120" w:line="288" w:lineRule="auto"/>
        <w:ind w:left="0"/>
        <w:jc w:val="left"/>
      </w:pPr>
      <w:r>
        <w:rPr>
          <w:rFonts w:ascii="Arial" w:hAnsi="Arial" w:eastAsia="等线" w:cs="Arial"/>
          <w:sz w:val="22"/>
        </w:rPr>
        <w:t>Setting out from the physical world, journeying through the digital, and returning to the physical—a complete crossing, all contained in one box.</w:t>
      </w:r>
    </w:p>
    <w:p w14:paraId="3FA61094">
      <w:pPr>
        <w:spacing w:before="120" w:after="120" w:line="288" w:lineRule="auto"/>
        <w:ind w:left="0"/>
        <w:jc w:val="left"/>
      </w:pPr>
    </w:p>
    <w:p w14:paraId="27A5D37B">
      <w:pPr>
        <w:spacing w:before="260" w:after="120" w:line="288" w:lineRule="auto"/>
        <w:ind w:left="0"/>
        <w:jc w:val="left"/>
        <w:outlineLvl w:val="3"/>
      </w:pPr>
      <w:bookmarkStart w:id="10" w:name="heading_14"/>
      <w:r>
        <w:rPr>
          <w:rFonts w:ascii="Arial" w:hAnsi="Arial" w:eastAsia="等线" w:cs="Arial"/>
          <w:b/>
          <w:i/>
          <w:sz w:val="28"/>
        </w:rPr>
        <w:t>These are our attempts over the years to turn inspiration into reality. Thank you for reading this far.</w:t>
      </w:r>
      <w:bookmarkEnd w:id="10"/>
    </w:p>
    <w:p w14:paraId="64F8322C">
      <w:pPr>
        <w:spacing w:before="120" w:after="120" w:line="288" w:lineRule="auto"/>
        <w:ind w:left="0"/>
        <w:jc w:val="left"/>
      </w:pPr>
    </w:p>
    <w:p w14:paraId="3CF94AE0">
      <w:pPr>
        <w:spacing w:before="380" w:after="140" w:line="288" w:lineRule="auto"/>
        <w:ind w:left="0"/>
        <w:jc w:val="left"/>
        <w:outlineLvl w:val="0"/>
      </w:pPr>
      <w:bookmarkStart w:id="11" w:name="heading_15"/>
      <w:r>
        <w:rPr>
          <w:rFonts w:ascii="Arial" w:hAnsi="Arial" w:eastAsia="等线" w:cs="Arial"/>
          <w:b/>
          <w:sz w:val="36"/>
        </w:rPr>
        <w:t>4，视频合集（宏基）</w:t>
      </w:r>
      <w:bookmarkEnd w:id="11"/>
    </w:p>
    <w:p w14:paraId="7E01A8FC">
      <w:pPr>
        <w:spacing w:before="120" w:after="120" w:line="288" w:lineRule="auto"/>
        <w:ind w:left="0"/>
        <w:jc w:val="left"/>
      </w:pPr>
      <w:r>
        <w:rPr>
          <w:rFonts w:ascii="Arial" w:hAnsi="Arial" w:eastAsia="等线" w:cs="Arial"/>
          <w:sz w:val="22"/>
        </w:rPr>
        <w:t>主图：</w:t>
      </w:r>
    </w:p>
    <w:p w14:paraId="1C1F49B7">
      <w:pPr>
        <w:spacing w:before="120" w:after="120" w:line="288" w:lineRule="auto"/>
        <w:ind w:left="0"/>
        <w:jc w:val="left"/>
      </w:pPr>
    </w:p>
    <w:p w14:paraId="500AD25B">
      <w:pPr>
        <w:spacing w:before="120" w:after="120" w:line="288" w:lineRule="auto"/>
        <w:ind w:left="0"/>
        <w:jc w:val="left"/>
      </w:pPr>
    </w:p>
    <w:p w14:paraId="0E006F6C">
      <w:pPr>
        <w:spacing w:before="120" w:after="120" w:line="288" w:lineRule="auto"/>
        <w:ind w:left="0"/>
        <w:jc w:val="left"/>
      </w:pPr>
      <w:r>
        <w:rPr>
          <w:rFonts w:ascii="Arial" w:hAnsi="Arial" w:eastAsia="等线" w:cs="Arial"/>
          <w:sz w:val="22"/>
        </w:rPr>
        <w:t>标题：</w:t>
      </w:r>
      <w:r>
        <w:rPr>
          <w:rFonts w:ascii="Arial" w:hAnsi="Arial" w:eastAsia="等线" w:cs="Arial"/>
          <w:sz w:val="22"/>
        </w:rPr>
        <w:br w:type="textWrapping"/>
      </w:r>
      <w:r>
        <w:rPr>
          <w:rFonts w:ascii="Arial" w:hAnsi="Arial" w:eastAsia="等线" w:cs="Arial"/>
          <w:sz w:val="22"/>
        </w:rPr>
        <w:t>产品影像辑</w:t>
      </w:r>
    </w:p>
    <w:p w14:paraId="778317C0">
      <w:pPr>
        <w:spacing w:before="120" w:after="120" w:line="288" w:lineRule="auto"/>
        <w:ind w:left="0"/>
        <w:jc w:val="left"/>
      </w:pPr>
      <w:r>
        <w:rPr>
          <w:rFonts w:ascii="Arial" w:hAnsi="Arial" w:eastAsia="等线" w:cs="Arial"/>
          <w:sz w:val="22"/>
        </w:rPr>
        <w:t>Product Showreel</w:t>
      </w:r>
    </w:p>
    <w:p w14:paraId="64AF6416">
      <w:pPr>
        <w:spacing w:before="120" w:after="120" w:line="288" w:lineRule="auto"/>
        <w:ind w:left="0"/>
        <w:jc w:val="left"/>
      </w:pPr>
    </w:p>
    <w:p w14:paraId="177EB86A">
      <w:pPr>
        <w:spacing w:before="120" w:after="120" w:line="288" w:lineRule="auto"/>
        <w:ind w:left="0"/>
        <w:jc w:val="left"/>
      </w:pPr>
      <w:r>
        <w:rPr>
          <w:rFonts w:ascii="Arial" w:hAnsi="Arial" w:eastAsia="等线" w:cs="Arial"/>
          <w:sz w:val="22"/>
        </w:rPr>
        <w:t>详情：</w:t>
      </w:r>
    </w:p>
    <w:p w14:paraId="418FD75B">
      <w:pPr>
        <w:spacing w:before="120" w:after="120" w:line="288" w:lineRule="auto"/>
        <w:ind w:left="0"/>
        <w:jc w:val="left"/>
      </w:pPr>
      <w:r>
        <w:rPr>
          <w:rFonts w:ascii="Arial" w:hAnsi="Arial" w:eastAsia="等线" w:cs="Arial"/>
          <w:sz w:val="22"/>
        </w:rPr>
        <w:t>This is more than a simple montage—it is a complete visual reconstruction driven by the core DNA of each product.</w:t>
      </w:r>
    </w:p>
    <w:p w14:paraId="340C7012">
      <w:pPr>
        <w:spacing w:before="120" w:after="120" w:line="288" w:lineRule="auto"/>
        <w:ind w:left="0"/>
        <w:jc w:val="left"/>
      </w:pPr>
      <w:r>
        <w:rPr>
          <w:rFonts w:ascii="Arial" w:hAnsi="Arial" w:eastAsia="等线" w:cs="Arial"/>
          <w:sz w:val="22"/>
        </w:rPr>
        <w:t xml:space="preserve">We deconstruct our product lines to endow each with its own cinematic life. By integrating distinct rhythmic soundscapes, customized color grading, and multidimensional editing frameworks, we ensure every device possesses a unique </w:t>
      </w:r>
      <w:r>
        <w:rPr>
          <w:rFonts w:ascii="Arial" w:hAnsi="Arial" w:eastAsia="等线" w:cs="Arial"/>
          <w:b/>
          <w:sz w:val="22"/>
        </w:rPr>
        <w:t>"visual fingerprint."</w:t>
      </w:r>
    </w:p>
    <w:p w14:paraId="74C6A5C6">
      <w:pPr>
        <w:spacing w:before="120" w:after="120" w:line="288" w:lineRule="auto"/>
        <w:ind w:left="0"/>
        <w:jc w:val="left"/>
      </w:pPr>
      <w:r>
        <w:rPr>
          <w:rFonts w:ascii="Arial" w:hAnsi="Arial" w:eastAsia="等线" w:cs="Arial"/>
          <w:sz w:val="22"/>
        </w:rPr>
        <w:t>Through penetrating cinematography and striking live demos, we strip away all visual noise to zero in on core functionalities. Driven by a razor-sharp editing tempo, we deliver a seamless transformation from abstract technical concepts to an ultimate sensory experience.</w:t>
      </w:r>
    </w:p>
    <w:p w14:paraId="2A28D564">
      <w:pPr>
        <w:spacing w:before="120" w:after="120" w:line="288" w:lineRule="auto"/>
        <w:ind w:left="0"/>
        <w:jc w:val="left"/>
      </w:pPr>
      <w:r>
        <w:rPr>
          <w:rFonts w:ascii="Arial" w:hAnsi="Arial" w:eastAsia="等线" w:cs="Arial"/>
          <w:sz w:val="22"/>
        </w:rPr>
        <w:t>https://www.youtube.com/watch?v=vEc32BaR9ZM</w:t>
      </w:r>
    </w:p>
    <w:p w14:paraId="3939A2D2">
      <w:pPr>
        <w:spacing w:before="120" w:after="120" w:line="288" w:lineRule="auto"/>
        <w:ind w:left="0"/>
        <w:jc w:val="left"/>
      </w:pPr>
      <w:r>
        <w:rPr>
          <w:rFonts w:ascii="Arial" w:hAnsi="Arial" w:eastAsia="等线" w:cs="Arial"/>
          <w:sz w:val="22"/>
        </w:rPr>
        <w:t>https://www.youtube.com/watch?v=_S-Mewc56KE</w:t>
      </w:r>
    </w:p>
    <w:p w14:paraId="1D35383C">
      <w:pPr>
        <w:spacing w:before="120" w:after="120" w:line="288" w:lineRule="auto"/>
        <w:ind w:left="0"/>
        <w:jc w:val="left"/>
      </w:pPr>
      <w:r>
        <w:rPr>
          <w:rFonts w:ascii="Arial" w:hAnsi="Arial" w:eastAsia="等线" w:cs="Arial"/>
          <w:sz w:val="22"/>
        </w:rPr>
        <w:t>https://www.youtube.com/watch?v=oubHMeJ379g</w:t>
      </w:r>
    </w:p>
    <w:p w14:paraId="536F1B92">
      <w:pPr>
        <w:spacing w:before="120" w:after="120" w:line="288" w:lineRule="auto"/>
        <w:ind w:left="0"/>
        <w:jc w:val="left"/>
      </w:pPr>
      <w:r>
        <w:rPr>
          <w:rFonts w:ascii="Arial" w:hAnsi="Arial" w:eastAsia="等线" w:cs="Arial"/>
          <w:sz w:val="22"/>
        </w:rPr>
        <w:t>https://www.youtube.com/watch?v=ny22Z0cAIqE</w:t>
      </w:r>
    </w:p>
    <w:p w14:paraId="43822F64">
      <w:pPr>
        <w:spacing w:before="120" w:after="120" w:line="288" w:lineRule="auto"/>
        <w:ind w:left="0"/>
        <w:jc w:val="left"/>
      </w:pPr>
      <w:r>
        <w:rPr>
          <w:rFonts w:ascii="Arial" w:hAnsi="Arial" w:eastAsia="等线" w:cs="Arial"/>
          <w:sz w:val="22"/>
        </w:rPr>
        <w:t>https://www.youtube.com/watch?v=lUu6zLt30os</w:t>
      </w:r>
    </w:p>
    <w:p w14:paraId="4DA57DEE">
      <w:pPr>
        <w:spacing w:before="120" w:after="120" w:line="288" w:lineRule="auto"/>
        <w:ind w:left="0"/>
        <w:jc w:val="left"/>
      </w:pPr>
      <w:r>
        <w:rPr>
          <w:rFonts w:ascii="Arial" w:hAnsi="Arial" w:eastAsia="等线" w:cs="Arial"/>
          <w:sz w:val="22"/>
        </w:rPr>
        <w:t>https://www.youtube.com/watch?v=8OQevtNNLUA&amp;t</w:t>
      </w:r>
    </w:p>
    <w:p w14:paraId="3BFFAFBD">
      <w:pPr>
        <w:spacing w:before="120" w:after="120" w:line="288" w:lineRule="auto"/>
        <w:ind w:left="0"/>
        <w:jc w:val="left"/>
      </w:pPr>
      <w:r>
        <w:rPr>
          <w:rFonts w:ascii="Arial" w:hAnsi="Arial" w:eastAsia="等线" w:cs="Arial"/>
          <w:sz w:val="22"/>
        </w:rPr>
        <w:t>https://www.youtube.com/watch?v=GYtKNI3h7RI</w:t>
      </w:r>
    </w:p>
    <w:p w14:paraId="17CC2482">
      <w:pPr>
        <w:spacing w:before="120" w:after="120" w:line="288" w:lineRule="auto"/>
        <w:ind w:left="0"/>
        <w:jc w:val="left"/>
      </w:pPr>
      <w:r>
        <w:rPr>
          <w:rFonts w:ascii="Arial" w:hAnsi="Arial" w:eastAsia="等线" w:cs="Arial"/>
          <w:sz w:val="22"/>
        </w:rPr>
        <w:t>https://www.youtube.com/watch?v=XFHGS82S3fA</w:t>
      </w:r>
    </w:p>
    <w:p w14:paraId="16234875">
      <w:pPr>
        <w:spacing w:before="120" w:after="120" w:line="288" w:lineRule="auto"/>
        <w:ind w:left="0"/>
        <w:jc w:val="left"/>
      </w:pPr>
      <w:r>
        <w:rPr>
          <w:rFonts w:ascii="Arial" w:hAnsi="Arial" w:eastAsia="等线" w:cs="Arial"/>
          <w:sz w:val="22"/>
        </w:rPr>
        <w:t>https://www.youtube.com/watch?v=ONbpv3seiG8&amp;t</w:t>
      </w:r>
    </w:p>
    <w:p w14:paraId="227F3BF4">
      <w:pPr>
        <w:spacing w:before="120" w:after="120" w:line="288" w:lineRule="auto"/>
        <w:ind w:left="0"/>
        <w:jc w:val="left"/>
      </w:pPr>
      <w:r>
        <w:rPr>
          <w:rFonts w:ascii="Arial" w:hAnsi="Arial" w:eastAsia="等线" w:cs="Arial"/>
          <w:sz w:val="22"/>
        </w:rPr>
        <w:t>https://www.youtube.com/watch?v=Xjc4AAqztFM</w:t>
      </w:r>
    </w:p>
    <w:p w14:paraId="12879718">
      <w:pPr>
        <w:spacing w:before="120" w:after="120" w:line="288" w:lineRule="auto"/>
        <w:ind w:left="0"/>
        <w:jc w:val="left"/>
      </w:pPr>
    </w:p>
    <w:p w14:paraId="39237293">
      <w:pPr>
        <w:spacing w:before="380" w:after="140" w:line="288" w:lineRule="auto"/>
        <w:ind w:left="0"/>
        <w:jc w:val="left"/>
        <w:outlineLvl w:val="0"/>
      </w:pPr>
      <w:bookmarkStart w:id="12" w:name="heading_16"/>
      <w:r>
        <w:rPr>
          <w:rFonts w:ascii="Arial" w:hAnsi="Arial" w:eastAsia="等线" w:cs="Arial"/>
          <w:b/>
          <w:sz w:val="36"/>
        </w:rPr>
        <w:t>5，交互标牌（阿远）</w:t>
      </w:r>
      <w:bookmarkEnd w:id="12"/>
    </w:p>
    <w:p w14:paraId="0040D6AB">
      <w:pPr>
        <w:spacing w:before="120" w:after="120" w:line="288" w:lineRule="auto"/>
        <w:ind w:left="0"/>
        <w:jc w:val="left"/>
      </w:pPr>
      <w:r>
        <w:rPr>
          <w:rFonts w:ascii="Arial" w:hAnsi="Arial" w:eastAsia="等线" w:cs="Arial"/>
          <w:sz w:val="22"/>
        </w:rPr>
        <w:t>主图：</w:t>
      </w:r>
    </w:p>
    <w:p w14:paraId="31965A29">
      <w:pPr>
        <w:spacing w:before="120" w:after="120" w:line="288" w:lineRule="auto"/>
        <w:ind w:left="0"/>
        <w:jc w:val="left"/>
      </w:pPr>
      <w:r>
        <w:rPr>
          <w:rFonts w:ascii="Arial" w:hAnsi="Arial" w:eastAsia="等线" w:cs="Arial"/>
          <w:sz w:val="22"/>
        </w:rPr>
        <w:t>标题：</w:t>
      </w:r>
    </w:p>
    <w:p w14:paraId="044E39BC">
      <w:pPr>
        <w:spacing w:before="380" w:after="140" w:line="288" w:lineRule="auto"/>
        <w:ind w:left="0"/>
        <w:jc w:val="left"/>
        <w:outlineLvl w:val="0"/>
      </w:pPr>
      <w:bookmarkStart w:id="13" w:name="heading_17"/>
      <w:r>
        <w:rPr>
          <w:rFonts w:ascii="Arial" w:hAnsi="Arial" w:eastAsia="等线" w:cs="Arial"/>
          <w:b/>
          <w:sz w:val="36"/>
        </w:rPr>
        <w:t>当易拉罐有了 “AI 灵感”</w:t>
      </w:r>
      <w:bookmarkEnd w:id="13"/>
    </w:p>
    <w:p w14:paraId="774B399A">
      <w:pPr>
        <w:spacing w:before="120" w:after="120" w:line="288" w:lineRule="auto"/>
        <w:ind w:left="0"/>
        <w:jc w:val="left"/>
      </w:pPr>
      <w:r>
        <w:rPr>
          <w:rFonts w:ascii="Arial" w:hAnsi="Arial" w:eastAsia="等线" w:cs="Arial"/>
          <w:sz w:val="22"/>
        </w:rPr>
        <w:t>详情：</w:t>
      </w:r>
    </w:p>
    <w:p w14:paraId="39E91404">
      <w:pPr>
        <w:spacing w:before="320" w:after="120" w:line="288" w:lineRule="auto"/>
        <w:ind w:left="0"/>
        <w:jc w:val="left"/>
        <w:outlineLvl w:val="1"/>
      </w:pPr>
      <w:bookmarkStart w:id="14" w:name="heading_18"/>
      <w:r>
        <w:rPr>
          <w:rFonts w:ascii="Arial" w:hAnsi="Arial" w:eastAsia="等线" w:cs="Arial"/>
          <w:b/>
          <w:sz w:val="32"/>
        </w:rPr>
        <w:t>从色彩识别到梦境生图的智能交互体验</w:t>
      </w:r>
      <w:bookmarkEnd w:id="14"/>
    </w:p>
    <w:p w14:paraId="1025ED6E">
      <w:pPr>
        <w:spacing w:before="120" w:after="120" w:line="288" w:lineRule="auto"/>
        <w:ind w:left="0"/>
        <w:jc w:val="left"/>
      </w:pPr>
      <w:r>
        <w:rPr>
          <w:rFonts w:ascii="Arial" w:hAnsi="Arial" w:eastAsia="等线" w:cs="Arial"/>
          <w:sz w:val="22"/>
        </w:rPr>
        <w:t>这不仅仅是一个标牌，更是一台会读懂你情绪的饮料推荐机。通过实时识别色彩，捕捉你的穿搭，并在秒级时间内生成专属 City Pop 海报，带你进入特调梦境。</w:t>
      </w:r>
    </w:p>
    <w:p w14:paraId="57708B77">
      <w:pPr>
        <w:spacing w:before="120" w:after="120" w:line="288" w:lineRule="auto"/>
        <w:ind w:left="0"/>
        <w:jc w:val="left"/>
      </w:pPr>
      <w:r>
        <w:rPr>
          <w:rFonts w:ascii="Arial" w:hAnsi="Arial" w:eastAsia="等线" w:cs="Arial"/>
          <w:sz w:val="22"/>
        </w:rPr>
        <w:t>🖼️  [图片 1：交互标牌系统主视觉 (Banner) ]</w:t>
      </w:r>
    </w:p>
    <w:p w14:paraId="4FDAE760">
      <w:pPr>
        <w:spacing w:before="320" w:after="120" w:line="288" w:lineRule="auto"/>
        <w:ind w:left="0"/>
        <w:jc w:val="left"/>
        <w:outlineLvl w:val="1"/>
      </w:pPr>
      <w:bookmarkStart w:id="15" w:name="heading_19"/>
      <w:r>
        <w:rPr>
          <w:rFonts w:ascii="Arial" w:hAnsi="Arial" w:eastAsia="等线" w:cs="Arial"/>
          <w:b/>
          <w:sz w:val="32"/>
        </w:rPr>
        <w:t>灵感起源：打破次元壁的未来交互标牌</w:t>
      </w:r>
      <w:bookmarkEnd w:id="15"/>
    </w:p>
    <w:p w14:paraId="4A506114">
      <w:pPr>
        <w:spacing w:before="120" w:after="120" w:line="288" w:lineRule="auto"/>
        <w:ind w:left="0"/>
        <w:jc w:val="left"/>
      </w:pPr>
      <w:r>
        <w:rPr>
          <w:rFonts w:ascii="Arial" w:hAnsi="Arial" w:eastAsia="等线" w:cs="Arial"/>
          <w:sz w:val="22"/>
        </w:rPr>
        <w:t>传统的标牌往往只承担静态的信息展示，而我们希望打造一个 “活” 的、能与人产生情感共鸣的智能装置。</w:t>
      </w:r>
    </w:p>
    <w:p w14:paraId="6819988E">
      <w:pPr>
        <w:spacing w:before="120" w:after="120" w:line="288" w:lineRule="auto"/>
        <w:ind w:left="0"/>
        <w:jc w:val="left"/>
      </w:pPr>
      <w:r>
        <w:rPr>
          <w:rFonts w:ascii="Arial" w:hAnsi="Arial" w:eastAsia="等线" w:cs="Arial"/>
          <w:sz w:val="22"/>
        </w:rPr>
        <w:t>我们的饮料推荐机在物理硬件结构上由以下核心组件精密集成：</w:t>
      </w:r>
    </w:p>
    <w:p w14:paraId="425EC79C">
      <w:pPr>
        <w:numPr>
          <w:ilvl w:val="0"/>
          <w:numId w:val="3"/>
        </w:numPr>
        <w:spacing w:before="120" w:after="120" w:line="288" w:lineRule="auto"/>
        <w:ind w:left="0"/>
        <w:jc w:val="left"/>
      </w:pPr>
      <w:r>
        <w:rPr>
          <w:rFonts w:ascii="Arial" w:hAnsi="Arial" w:eastAsia="等线" w:cs="Arial"/>
          <w:sz w:val="22"/>
        </w:rPr>
        <w:t>定制易拉罐造型外壳：作为整个交互标牌的品牌主视觉载体与物理容器，将所有电子元器件与发光灯带完美包裹，形成统一且极具辨识度的商业展示终端。</w:t>
      </w:r>
    </w:p>
    <w:p w14:paraId="11705FDA">
      <w:pPr>
        <w:numPr>
          <w:ilvl w:val="0"/>
          <w:numId w:val="4"/>
        </w:numPr>
        <w:spacing w:before="120" w:after="120" w:line="288" w:lineRule="auto"/>
        <w:ind w:left="0"/>
        <w:jc w:val="left"/>
      </w:pPr>
      <w:r>
        <w:rPr>
          <w:rFonts w:ascii="Arial" w:hAnsi="Arial" w:eastAsia="等线" w:cs="Arial"/>
          <w:sz w:val="22"/>
        </w:rPr>
        <w:t>reServer 边缘计算主机：搭载高性能边缘处理器，负责运行 Node.js 串口服务器与交互 Web 应用，进行本地图形渲染与多模态 AI（Gemini API）网络请求交互。</w:t>
      </w:r>
    </w:p>
    <w:p w14:paraId="4B1D8C4A">
      <w:pPr>
        <w:numPr>
          <w:ilvl w:val="0"/>
          <w:numId w:val="5"/>
        </w:numPr>
        <w:spacing w:before="120" w:after="120" w:line="288" w:lineRule="auto"/>
        <w:ind w:left="0"/>
        <w:jc w:val="left"/>
      </w:pPr>
      <w:r>
        <w:rPr>
          <w:rFonts w:ascii="Arial" w:hAnsi="Arial" w:eastAsia="等线" w:cs="Arial"/>
          <w:sz w:val="22"/>
        </w:rPr>
        <w:t>交互大屏与高清摄像头：大屏用于展示充满 City Pop 动效的交互 UI，高清摄像头用于实时捕捉用户肖像，提供直观的人机交互界面。</w:t>
      </w:r>
    </w:p>
    <w:p w14:paraId="61E6204E">
      <w:pPr>
        <w:numPr>
          <w:ilvl w:val="0"/>
          <w:numId w:val="6"/>
        </w:numPr>
        <w:spacing w:before="120" w:after="120" w:line="288" w:lineRule="auto"/>
        <w:ind w:left="0"/>
        <w:jc w:val="left"/>
      </w:pPr>
      <w:r>
        <w:rPr>
          <w:rFonts w:ascii="Arial" w:hAnsi="Arial" w:eastAsia="等线" w:cs="Arial"/>
          <w:sz w:val="22"/>
        </w:rPr>
        <w:t>Seeed Studio XIAO ESP32C3 主控板：作为底层的执行大脑，负责接收来自 reServer 的串口指令并渲染高精度的 LED 动态灯效。</w:t>
      </w:r>
    </w:p>
    <w:p w14:paraId="1B2AFC05">
      <w:pPr>
        <w:numPr>
          <w:ilvl w:val="0"/>
          <w:numId w:val="7"/>
        </w:numPr>
        <w:spacing w:before="120" w:after="120" w:line="288" w:lineRule="auto"/>
        <w:ind w:left="0"/>
        <w:jc w:val="left"/>
      </w:pPr>
      <w:r>
        <w:rPr>
          <w:rFonts w:ascii="Arial" w:hAnsi="Arial" w:eastAsia="等线" w:cs="Arial"/>
          <w:sz w:val="22"/>
        </w:rPr>
        <w:t>专属定制载板 (Carrier Board)：为 XIAO ESP32C3 提供专用的扩展接口，集成了电平转换电路（将 MCU 的 3.3V GPIO 逻辑电平转换为灯条所需的 5V 控制电平）与独立的供电稳压模块，保障大功率灯带连续工作的安全与稳定性。</w:t>
      </w:r>
    </w:p>
    <w:p w14:paraId="7E737673">
      <w:pPr>
        <w:numPr>
          <w:ilvl w:val="0"/>
          <w:numId w:val="8"/>
        </w:numPr>
        <w:spacing w:before="120" w:after="120" w:line="288" w:lineRule="auto"/>
        <w:ind w:left="0"/>
        <w:jc w:val="left"/>
      </w:pPr>
      <w:r>
        <w:rPr>
          <w:rFonts w:ascii="Arial" w:hAnsi="Arial" w:eastAsia="等线" w:cs="Arial"/>
          <w:sz w:val="22"/>
        </w:rPr>
        <w:t>内置智能可寻址灯条：卡入易拉罐外壳的结构凹槽中，通过光影流转直接将用户的虚拟梦境投射到物理世界。</w:t>
      </w:r>
    </w:p>
    <w:p w14:paraId="6BE7D736">
      <w:pPr>
        <w:spacing w:before="120" w:after="120" w:line="288" w:lineRule="auto"/>
        <w:ind w:left="0"/>
        <w:jc w:val="left"/>
      </w:pPr>
      <w:r>
        <w:rPr>
          <w:rFonts w:ascii="Arial" w:hAnsi="Arial" w:eastAsia="等线" w:cs="Arial"/>
          <w:sz w:val="22"/>
        </w:rPr>
        <w:t>🖼️  [图片 2：用户在易拉罐交互机前的互动场景]</w:t>
      </w:r>
    </w:p>
    <w:p w14:paraId="12403796">
      <w:pPr>
        <w:spacing w:before="320" w:after="120" w:line="288" w:lineRule="auto"/>
        <w:ind w:left="0"/>
        <w:jc w:val="left"/>
        <w:outlineLvl w:val="1"/>
      </w:pPr>
      <w:bookmarkStart w:id="16" w:name="heading_20"/>
      <w:r>
        <w:rPr>
          <w:rFonts w:ascii="Arial" w:hAnsi="Arial" w:eastAsia="等线" w:cs="Arial"/>
          <w:b/>
          <w:sz w:val="32"/>
        </w:rPr>
        <w:t>虚实同步的四大交互流程</w:t>
      </w:r>
      <w:bookmarkEnd w:id="16"/>
    </w:p>
    <w:p w14:paraId="00F797B1">
      <w:pPr>
        <w:spacing w:before="120" w:after="120" w:line="288" w:lineRule="auto"/>
        <w:ind w:left="0"/>
        <w:jc w:val="left"/>
      </w:pPr>
      <w:r>
        <w:rPr>
          <w:rFonts w:ascii="Arial" w:hAnsi="Arial" w:eastAsia="等线" w:cs="Arial"/>
          <w:sz w:val="22"/>
        </w:rPr>
        <w:t>整个交互标牌系统通过软件、AI 与硬件的协同，实现了闭环的数实交互：</w:t>
      </w:r>
    </w:p>
    <w:p w14:paraId="21262612">
      <w:pPr>
        <w:numPr>
          <w:ilvl w:val="0"/>
          <w:numId w:val="9"/>
        </w:numPr>
        <w:spacing w:before="120" w:after="120" w:line="288" w:lineRule="auto"/>
        <w:ind w:left="0"/>
        <w:jc w:val="left"/>
      </w:pPr>
      <w:r>
        <w:rPr>
          <w:rFonts w:ascii="Arial" w:hAnsi="Arial" w:eastAsia="等线" w:cs="Arial"/>
          <w:sz w:val="22"/>
        </w:rPr>
        <w:t>影像基准录入 (Calibration)：系统对主打色彩与视觉风格进行预先录入，确立色彩空间。</w:t>
      </w:r>
    </w:p>
    <w:p w14:paraId="4215854F">
      <w:pPr>
        <w:numPr>
          <w:ilvl w:val="0"/>
          <w:numId w:val="10"/>
        </w:numPr>
        <w:spacing w:before="120" w:after="120" w:line="288" w:lineRule="auto"/>
        <w:ind w:left="0"/>
        <w:jc w:val="left"/>
      </w:pPr>
      <w:r>
        <w:rPr>
          <w:rFonts w:ascii="Arial" w:hAnsi="Arial" w:eastAsia="等线" w:cs="Arial"/>
          <w:sz w:val="22"/>
        </w:rPr>
        <w:t>交互镜头捕捉 (Scanning)：用户站在易拉罐标牌前，摄像头捕捉用户肖像，AI 提取用户衣着的主导色与情绪气场。</w:t>
      </w:r>
    </w:p>
    <w:p w14:paraId="16537E7C">
      <w:pPr>
        <w:numPr>
          <w:ilvl w:val="0"/>
          <w:numId w:val="11"/>
        </w:numPr>
        <w:spacing w:before="120" w:after="120" w:line="288" w:lineRule="auto"/>
        <w:ind w:left="0"/>
        <w:jc w:val="left"/>
      </w:pPr>
      <w:r>
        <w:rPr>
          <w:rFonts w:ascii="Arial" w:hAnsi="Arial" w:eastAsia="等线" w:cs="Arial"/>
          <w:sz w:val="22"/>
        </w:rPr>
        <w:t>AIGC 梦境海报生成 (AIGC Generation)：Gemini 智能体读取用户脸型、发型、表情及着装，将其重构为 City Pop 风格的 2D 动漫形象，融于专属背景中。</w:t>
      </w:r>
    </w:p>
    <w:p w14:paraId="5D3DBA49">
      <w:pPr>
        <w:numPr>
          <w:ilvl w:val="0"/>
          <w:numId w:val="12"/>
        </w:numPr>
        <w:spacing w:before="120" w:after="120" w:line="288" w:lineRule="auto"/>
        <w:ind w:left="0"/>
        <w:jc w:val="left"/>
      </w:pPr>
      <w:r>
        <w:rPr>
          <w:rFonts w:ascii="Arial" w:hAnsi="Arial" w:eastAsia="等线" w:cs="Arial"/>
          <w:sz w:val="22"/>
        </w:rPr>
        <w:t>巨型易拉罐光影同步 (Hardware Syncing)：匹配结果生成的瞬间，后台通过串口通信向易拉罐内的 ESP32 主控板发送信号，内置在易拉罐外壳上的智能灯条立刻亮起对应的流星动画效果，实现物理空间与数字画面的瞬间同频。</w:t>
      </w:r>
    </w:p>
    <w:p w14:paraId="6A47F818">
      <w:pPr>
        <w:spacing w:before="320" w:after="120" w:line="288" w:lineRule="auto"/>
        <w:ind w:left="0"/>
        <w:jc w:val="left"/>
        <w:outlineLvl w:val="1"/>
      </w:pPr>
      <w:bookmarkStart w:id="17" w:name="heading_21"/>
      <w:r>
        <w:rPr>
          <w:rFonts w:ascii="Arial" w:hAnsi="Arial" w:eastAsia="等线" w:cs="Arial"/>
          <w:b/>
          <w:sz w:val="32"/>
        </w:rPr>
        <w:t>10 大情感色彩与梦境主题</w:t>
      </w:r>
      <w:bookmarkEnd w:id="17"/>
    </w:p>
    <w:p w14:paraId="48467461">
      <w:pPr>
        <w:spacing w:before="120" w:after="120" w:line="288" w:lineRule="auto"/>
        <w:ind w:left="0"/>
        <w:jc w:val="left"/>
      </w:pPr>
      <w:r>
        <w:rPr>
          <w:rFonts w:ascii="Arial" w:hAnsi="Arial" w:eastAsia="等线" w:cs="Arial"/>
          <w:sz w:val="22"/>
        </w:rPr>
        <w:t>标牌根据识别到的不同颜色，将用户引导至 10 个不同的情绪空间。虽然代表了不同的推荐茶饮意象，但其核心是用色彩和画面进行情感链接：</w:t>
      </w:r>
    </w:p>
    <w:p w14:paraId="2316CA34">
      <w:pPr>
        <w:numPr>
          <w:ilvl w:val="0"/>
          <w:numId w:val="13"/>
        </w:numPr>
        <w:spacing w:before="120" w:after="120" w:line="288" w:lineRule="auto"/>
        <w:ind w:left="0"/>
        <w:jc w:val="left"/>
      </w:pPr>
      <w:r>
        <w:rPr>
          <w:rFonts w:ascii="Arial" w:hAnsi="Arial" w:eastAsia="等线" w:cs="Arial"/>
          <w:sz w:val="22"/>
        </w:rPr>
        <w:t>黑色 (Black)・午夜镜廊</w:t>
      </w:r>
    </w:p>
    <w:p w14:paraId="40CEF38F">
      <w:pPr>
        <w:numPr>
          <w:ilvl w:val="0"/>
          <w:numId w:val="14"/>
        </w:numPr>
        <w:spacing w:before="120" w:after="120" w:line="288" w:lineRule="auto"/>
        <w:ind w:left="0"/>
        <w:jc w:val="left"/>
      </w:pPr>
      <w:r>
        <w:rPr>
          <w:rFonts w:ascii="Arial" w:hAnsi="Arial" w:eastAsia="等线" w:cs="Arial"/>
          <w:sz w:val="22"/>
        </w:rPr>
        <w:t>白色 (White)・白色自动洗衣店</w:t>
      </w:r>
    </w:p>
    <w:p w14:paraId="39138A9E">
      <w:pPr>
        <w:numPr>
          <w:ilvl w:val="0"/>
          <w:numId w:val="15"/>
        </w:numPr>
        <w:spacing w:before="120" w:after="120" w:line="288" w:lineRule="auto"/>
        <w:ind w:left="0"/>
        <w:jc w:val="left"/>
      </w:pPr>
      <w:r>
        <w:rPr>
          <w:rFonts w:ascii="Arial" w:hAnsi="Arial" w:eastAsia="等线" w:cs="Arial"/>
          <w:sz w:val="22"/>
        </w:rPr>
        <w:t>红色 (Red)・红丝绒剧场</w:t>
      </w:r>
    </w:p>
    <w:p w14:paraId="3D8AF96A">
      <w:pPr>
        <w:numPr>
          <w:ilvl w:val="0"/>
          <w:numId w:val="16"/>
        </w:numPr>
        <w:spacing w:before="120" w:after="120" w:line="288" w:lineRule="auto"/>
        <w:ind w:left="0"/>
        <w:jc w:val="left"/>
      </w:pPr>
      <w:r>
        <w:rPr>
          <w:rFonts w:ascii="Arial" w:hAnsi="Arial" w:eastAsia="等线" w:cs="Arial"/>
          <w:sz w:val="22"/>
        </w:rPr>
        <w:t>蓝色 (Blue)・深海电话亭</w:t>
      </w:r>
    </w:p>
    <w:p w14:paraId="612ECAC2">
      <w:pPr>
        <w:numPr>
          <w:ilvl w:val="0"/>
          <w:numId w:val="17"/>
        </w:numPr>
        <w:spacing w:before="120" w:after="120" w:line="288" w:lineRule="auto"/>
        <w:ind w:left="0"/>
        <w:jc w:val="left"/>
      </w:pPr>
      <w:r>
        <w:rPr>
          <w:rFonts w:ascii="Arial" w:hAnsi="Arial" w:eastAsia="等线" w:cs="Arial"/>
          <w:sz w:val="22"/>
        </w:rPr>
        <w:t>绿色 (Green)・发光植物温室</w:t>
      </w:r>
    </w:p>
    <w:p w14:paraId="1142AE4F">
      <w:pPr>
        <w:numPr>
          <w:ilvl w:val="0"/>
          <w:numId w:val="18"/>
        </w:numPr>
        <w:spacing w:before="120" w:after="120" w:line="288" w:lineRule="auto"/>
        <w:ind w:left="0"/>
        <w:jc w:val="left"/>
      </w:pPr>
      <w:r>
        <w:rPr>
          <w:rFonts w:ascii="Arial" w:hAnsi="Arial" w:eastAsia="等线" w:cs="Arial"/>
          <w:sz w:val="22"/>
        </w:rPr>
        <w:t>黄色 (Yellow)・落日轮滑场</w:t>
      </w:r>
    </w:p>
    <w:p w14:paraId="298146A8">
      <w:pPr>
        <w:numPr>
          <w:ilvl w:val="0"/>
          <w:numId w:val="19"/>
        </w:numPr>
        <w:spacing w:before="120" w:after="120" w:line="288" w:lineRule="auto"/>
        <w:ind w:left="0"/>
        <w:jc w:val="left"/>
      </w:pPr>
      <w:r>
        <w:rPr>
          <w:rFonts w:ascii="Arial" w:hAnsi="Arial" w:eastAsia="等线" w:cs="Arial"/>
          <w:sz w:val="22"/>
        </w:rPr>
        <w:t>紫色 (Purple)・占卜隧道</w:t>
      </w:r>
    </w:p>
    <w:p w14:paraId="27B39C8E">
      <w:pPr>
        <w:numPr>
          <w:ilvl w:val="0"/>
          <w:numId w:val="20"/>
        </w:numPr>
        <w:spacing w:before="120" w:after="120" w:line="288" w:lineRule="auto"/>
        <w:ind w:left="0"/>
        <w:jc w:val="left"/>
      </w:pPr>
      <w:r>
        <w:rPr>
          <w:rFonts w:ascii="Arial" w:hAnsi="Arial" w:eastAsia="等线" w:cs="Arial"/>
          <w:sz w:val="22"/>
        </w:rPr>
        <w:t>粉色 (Pink)・棉花糖浴室</w:t>
      </w:r>
    </w:p>
    <w:p w14:paraId="49E6FE41">
      <w:pPr>
        <w:numPr>
          <w:ilvl w:val="0"/>
          <w:numId w:val="21"/>
        </w:numPr>
        <w:spacing w:before="120" w:after="120" w:line="288" w:lineRule="auto"/>
        <w:ind w:left="0"/>
        <w:jc w:val="left"/>
      </w:pPr>
      <w:r>
        <w:rPr>
          <w:rFonts w:ascii="Arial" w:hAnsi="Arial" w:eastAsia="等线" w:cs="Arial"/>
          <w:sz w:val="22"/>
        </w:rPr>
        <w:t>橙色 (Orange)・橙味便利店</w:t>
      </w:r>
    </w:p>
    <w:p w14:paraId="5E2BA0A2">
      <w:pPr>
        <w:numPr>
          <w:ilvl w:val="0"/>
          <w:numId w:val="22"/>
        </w:numPr>
        <w:spacing w:before="120" w:after="120" w:line="288" w:lineRule="auto"/>
        <w:ind w:left="0"/>
        <w:jc w:val="left"/>
      </w:pPr>
      <w:r>
        <w:rPr>
          <w:rFonts w:ascii="Arial" w:hAnsi="Arial" w:eastAsia="等线" w:cs="Arial"/>
          <w:sz w:val="22"/>
        </w:rPr>
        <w:t>灰色 (Grey)・灰调失眠电台</w:t>
      </w:r>
    </w:p>
    <w:p w14:paraId="4236482F">
      <w:pPr>
        <w:spacing w:before="120" w:after="120" w:line="288" w:lineRule="auto"/>
        <w:ind w:left="0"/>
        <w:jc w:val="left"/>
      </w:pPr>
      <w:r>
        <w:rPr>
          <w:rFonts w:ascii="Arial" w:hAnsi="Arial" w:eastAsia="等线" w:cs="Arial"/>
          <w:sz w:val="22"/>
        </w:rPr>
        <w:t>🖼️  [图片 3：10 色灯光与梦境海报对应展示]</w:t>
      </w:r>
    </w:p>
    <w:p w14:paraId="4EB89BFC">
      <w:pPr>
        <w:spacing w:before="320" w:after="120" w:line="288" w:lineRule="auto"/>
        <w:ind w:left="0"/>
        <w:jc w:val="left"/>
        <w:outlineLvl w:val="1"/>
      </w:pPr>
      <w:bookmarkStart w:id="18" w:name="heading_22"/>
      <w:r>
        <w:rPr>
          <w:rFonts w:ascii="Arial" w:hAnsi="Arial" w:eastAsia="等线" w:cs="Arial"/>
          <w:b/>
          <w:sz w:val="32"/>
        </w:rPr>
        <w:t>软硬件协同背后的技术实现</w:t>
      </w:r>
      <w:bookmarkEnd w:id="18"/>
    </w:p>
    <w:p w14:paraId="13907A6C">
      <w:pPr>
        <w:spacing w:before="120" w:after="120" w:line="288" w:lineRule="auto"/>
        <w:ind w:left="0"/>
        <w:jc w:val="left"/>
      </w:pPr>
      <w:r>
        <w:rPr>
          <w:rFonts w:ascii="Arial" w:hAnsi="Arial" w:eastAsia="等线" w:cs="Arial"/>
          <w:sz w:val="22"/>
        </w:rPr>
        <w:t>我们设计了极具稳定性和扩展性的技术架构，着重展示了边缘计算（IoT 硬件）与云端大模型的数实协同：</w:t>
      </w:r>
    </w:p>
    <w:p w14:paraId="186E763F">
      <w:pPr>
        <w:spacing w:before="300" w:after="120" w:line="288" w:lineRule="auto"/>
        <w:ind w:left="0"/>
        <w:jc w:val="left"/>
        <w:outlineLvl w:val="2"/>
      </w:pPr>
      <w:bookmarkStart w:id="19" w:name="heading_23"/>
      <w:r>
        <w:rPr>
          <w:rFonts w:ascii="Arial" w:hAnsi="Arial" w:eastAsia="等线" w:cs="Arial"/>
          <w:color w:val="3370FF"/>
          <w:sz w:val="30"/>
        </w:rPr>
        <w:t xml:space="preserve">1. </w:t>
      </w:r>
      <w:r>
        <w:rPr>
          <w:rFonts w:ascii="Arial" w:hAnsi="Arial" w:eastAsia="等线" w:cs="Arial"/>
          <w:b/>
          <w:sz w:val="30"/>
        </w:rPr>
        <w:t>核心芯片与定制载板协同 (Seeed Studio XIAO ESP32C3 &amp; Carrier Board)</w:t>
      </w:r>
      <w:bookmarkEnd w:id="19"/>
    </w:p>
    <w:p w14:paraId="43588F9A">
      <w:pPr>
        <w:spacing w:before="120" w:after="120" w:line="288" w:lineRule="auto"/>
        <w:ind w:left="0"/>
        <w:jc w:val="left"/>
      </w:pPr>
      <w:r>
        <w:rPr>
          <w:rFonts w:ascii="Arial" w:hAnsi="Arial" w:eastAsia="等线" w:cs="Arial"/>
          <w:sz w:val="22"/>
        </w:rPr>
        <w:t>物理控制的核心是 Seeed Studio XIAO ESP32C3 微控制器与我们设计的专属定制载板。XIAO 主控板基于 RISC-V 32 位单核处理器，性能强劲且功耗极低。由于 WS2812B 灯条需要 5V 逻辑电平以保证信号稳定传输，我们在载板（Carrier Board）上集成了专用的高速双向电平转换芯片，将 XIAO 芯片 3.3V 的 GPIO 逻辑电平平滑转换为灯条所需的 5V 信号电平，并配合电容滤波与独立稳压模块，彻底消除了由于灯条亮度剧烈变化引起的电源纹波干扰。</w:t>
      </w:r>
    </w:p>
    <w:p w14:paraId="65AF3B80">
      <w:pPr>
        <w:spacing w:before="300" w:after="120" w:line="288" w:lineRule="auto"/>
        <w:ind w:left="0"/>
        <w:jc w:val="left"/>
        <w:outlineLvl w:val="2"/>
      </w:pPr>
      <w:bookmarkStart w:id="20" w:name="heading_24"/>
      <w:r>
        <w:rPr>
          <w:rFonts w:ascii="Arial" w:hAnsi="Arial" w:eastAsia="等线" w:cs="Arial"/>
          <w:color w:val="3370FF"/>
          <w:sz w:val="30"/>
        </w:rPr>
        <w:t xml:space="preserve">2. </w:t>
      </w:r>
      <w:r>
        <w:rPr>
          <w:rFonts w:ascii="Arial" w:hAnsi="Arial" w:eastAsia="等线" w:cs="Arial"/>
          <w:b/>
          <w:sz w:val="30"/>
        </w:rPr>
        <w:t>边缘服务器 reServer 与物理串口传输</w:t>
      </w:r>
      <w:bookmarkEnd w:id="20"/>
    </w:p>
    <w:p w14:paraId="614EA39F">
      <w:pPr>
        <w:spacing w:before="120" w:after="120" w:line="288" w:lineRule="auto"/>
        <w:ind w:left="0"/>
        <w:jc w:val="left"/>
      </w:pPr>
      <w:r>
        <w:rPr>
          <w:rFonts w:ascii="Arial" w:hAnsi="Arial" w:eastAsia="等线" w:cs="Arial"/>
          <w:sz w:val="22"/>
        </w:rPr>
        <w:t>作为交互标牌的 “大脑”，reServer 边缘主机通过 USB 数据线直接连接到定制载板的 USB 接口。数据通信建立在标准串口协议（波特率 115200）物理通道之上。在 reServer 上运行 of Node.js 串口中转网关负责将云端 AI 识别出来的色彩气场转换成极轻量的 ASCII 格式数据帧（如 'R,G,B\n'），通过 USB 物理串口直接写入 XIAO ESP32C3 芯片，实现了几无延迟的跨平台数实同步。</w:t>
      </w:r>
    </w:p>
    <w:p w14:paraId="2C404EA5">
      <w:pPr>
        <w:spacing w:before="300" w:after="120" w:line="288" w:lineRule="auto"/>
        <w:ind w:left="0"/>
        <w:jc w:val="left"/>
        <w:outlineLvl w:val="2"/>
      </w:pPr>
      <w:bookmarkStart w:id="21" w:name="heading_25"/>
      <w:r>
        <w:rPr>
          <w:rFonts w:ascii="Arial" w:hAnsi="Arial" w:eastAsia="等线" w:cs="Arial"/>
          <w:color w:val="3370FF"/>
          <w:sz w:val="30"/>
        </w:rPr>
        <w:t xml:space="preserve">3. </w:t>
      </w:r>
      <w:r>
        <w:rPr>
          <w:rFonts w:ascii="Arial" w:hAnsi="Arial" w:eastAsia="等线" w:cs="Arial"/>
          <w:b/>
          <w:sz w:val="30"/>
        </w:rPr>
        <w:t>毫秒级非阻塞灯效状态机</w:t>
      </w:r>
      <w:bookmarkEnd w:id="21"/>
    </w:p>
    <w:p w14:paraId="74008122">
      <w:pPr>
        <w:spacing w:before="120" w:after="120" w:line="288" w:lineRule="auto"/>
        <w:ind w:left="0"/>
        <w:jc w:val="left"/>
      </w:pPr>
      <w:r>
        <w:rPr>
          <w:rFonts w:ascii="Arial" w:hAnsi="Arial" w:eastAsia="等线" w:cs="Arial"/>
          <w:sz w:val="22"/>
        </w:rPr>
        <w:t>XIAO ESP32C3 芯片内部运行基于 C++ 编写的无阻塞式固件。它固化在芯片中，使用系统内置的 millis () 定时器执行轮询计算，摒弃了会挂起 CPU 的 delay () 延时。这使得主控板在高速渲染 “彗星拖尾（Comet）” 与 “彩虹跑马灯” 算法时，仍能以微秒级的速度扫描串口输入缓冲区，确保在屏幕端 AIGC 画布切换的同时，实体易拉罐灯条能够瞬间平滑变色。</w:t>
      </w:r>
    </w:p>
    <w:p w14:paraId="5B7A34A5">
      <w:pPr>
        <w:spacing w:before="300" w:after="120" w:line="288" w:lineRule="auto"/>
        <w:ind w:left="0"/>
        <w:jc w:val="left"/>
        <w:outlineLvl w:val="2"/>
      </w:pPr>
      <w:bookmarkStart w:id="22" w:name="heading_26"/>
      <w:r>
        <w:rPr>
          <w:rFonts w:ascii="Arial" w:hAnsi="Arial" w:eastAsia="等线" w:cs="Arial"/>
          <w:color w:val="3370FF"/>
          <w:sz w:val="30"/>
        </w:rPr>
        <w:t xml:space="preserve">4. </w:t>
      </w:r>
      <w:r>
        <w:rPr>
          <w:rFonts w:ascii="Arial" w:hAnsi="Arial" w:eastAsia="等线" w:cs="Arial"/>
          <w:b/>
          <w:sz w:val="30"/>
        </w:rPr>
        <w:t>多模态 AI 与生成式海报</w:t>
      </w:r>
      <w:bookmarkEnd w:id="22"/>
    </w:p>
    <w:p w14:paraId="3C73B07F">
      <w:pPr>
        <w:spacing w:before="120" w:after="120" w:line="288" w:lineRule="auto"/>
        <w:ind w:left="0"/>
        <w:jc w:val="left"/>
      </w:pPr>
      <w:r>
        <w:rPr>
          <w:rFonts w:ascii="Arial" w:hAnsi="Arial" w:eastAsia="等线" w:cs="Arial"/>
          <w:sz w:val="22"/>
        </w:rPr>
        <w:t>系统调用 Gemini 多模态接口，一条通道进行视觉色彩识别，另一条通道根据定制化 Style Prompt，快速输出无文本水印的 3:4 比例复古 Cel 动画风格海报，完美契合交互标牌的高清大屏呈现。</w:t>
      </w:r>
    </w:p>
    <w:p w14:paraId="074DE06E">
      <w:pPr>
        <w:spacing w:before="300" w:after="120" w:line="288" w:lineRule="auto"/>
        <w:ind w:left="0"/>
        <w:jc w:val="left"/>
        <w:outlineLvl w:val="2"/>
      </w:pPr>
      <w:bookmarkStart w:id="23" w:name="heading_27"/>
      <w:r>
        <w:rPr>
          <w:rFonts w:ascii="Arial" w:hAnsi="Arial" w:eastAsia="等线" w:cs="Arial"/>
          <w:color w:val="3370FF"/>
          <w:sz w:val="30"/>
        </w:rPr>
        <w:t xml:space="preserve">5. </w:t>
      </w:r>
      <w:r>
        <w:rPr>
          <w:rFonts w:ascii="Arial" w:hAnsi="Arial" w:eastAsia="等线" w:cs="Arial"/>
          <w:b/>
          <w:sz w:val="30"/>
        </w:rPr>
        <w:t>智能软硬件集成架构</w:t>
      </w:r>
      <w:bookmarkEnd w:id="23"/>
    </w:p>
    <w:p w14:paraId="01CA3948">
      <w:pPr>
        <w:spacing w:before="120" w:after="120" w:line="288" w:lineRule="auto"/>
        <w:ind w:left="0"/>
        <w:jc w:val="left"/>
      </w:pPr>
      <w:r>
        <w:rPr>
          <w:rFonts w:ascii="Arial" w:hAnsi="Arial" w:eastAsia="等线" w:cs="Arial"/>
          <w:sz w:val="22"/>
        </w:rPr>
        <w:t>整个交互标牌系统通过将 reServer 边缘计算、XIAO ESP32C3 底层控制、高电流控制载板、以及定制的易拉罐造型外壳一体化集成，构建了一个兼顾软件美学、AI 多模态智能与坚固硬件工程性的完备标牌装置，极具大赛竞争力和商业应用前景。</w:t>
      </w:r>
    </w:p>
    <w:p w14:paraId="56764EDE">
      <w:pPr>
        <w:spacing w:before="320" w:after="120" w:line="288" w:lineRule="auto"/>
        <w:ind w:left="0"/>
        <w:jc w:val="left"/>
        <w:outlineLvl w:val="1"/>
      </w:pPr>
      <w:bookmarkStart w:id="24" w:name="heading_28"/>
      <w:r>
        <w:rPr>
          <w:rFonts w:ascii="Arial" w:hAnsi="Arial" w:eastAsia="等线" w:cs="Arial"/>
          <w:b/>
          <w:sz w:val="32"/>
        </w:rPr>
        <w:t>赋能未来潮流零售标牌</w:t>
      </w:r>
      <w:bookmarkEnd w:id="24"/>
    </w:p>
    <w:p w14:paraId="51398546">
      <w:pPr>
        <w:spacing w:before="120" w:after="120" w:line="288" w:lineRule="auto"/>
        <w:ind w:left="0"/>
        <w:jc w:val="left"/>
      </w:pPr>
      <w:r>
        <w:rPr>
          <w:rFonts w:ascii="Arial" w:hAnsi="Arial" w:eastAsia="等线" w:cs="Arial"/>
          <w:sz w:val="22"/>
        </w:rPr>
        <w:t>“标牌即媒介，互动即情感” 通过将冰冷的物理易拉罐外壳转化为能感知人类色彩、能用光影与 AIGC 进行即时反馈的智能终端，我们不仅提升了品牌形象的趣味度，更展示了未来智能新零售标牌的无限潜力。这种能够引发自发性拍照、社交分享的交互装置，无疑是线下实体店面引流的制胜法宝。</w:t>
      </w:r>
    </w:p>
    <w:sectPr>
      <w:headerReference r:id="rId3" w:type="default"/>
      <w:footerReference r:id="rId4" w:type="default"/>
      <w:pgSz w:w="11905" w:h="16840"/>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Arial">
    <w:panose1 w:val="020B0604020202020204"/>
    <w:charset w:val="00"/>
    <w:family w:val="auto"/>
    <w:pitch w:val="default"/>
    <w:sig w:usb0="E0002EFF" w:usb1="C000785B" w:usb2="00000009" w:usb3="00000000" w:csb0="400001FF" w:csb1="FFFF0000"/>
  </w:font>
  <w:font w:name="等线">
    <w:panose1 w:val="02010600030101010101"/>
    <w:charset w:val="86"/>
    <w:family w:val="auto"/>
    <w:pitch w:val="default"/>
    <w:sig w:usb0="A00002BF" w:usb1="38CF7CFA" w:usb2="00000016" w:usb3="00000000" w:csb0="0004000F" w:csb1="00000000"/>
  </w:font>
  <w:font w:name="Segoe UI Emoji">
    <w:panose1 w:val="020B0502040204020203"/>
    <w:charset w:val="00"/>
    <w:family w:val="auto"/>
    <w:pitch w:val="default"/>
    <w:sig w:usb0="00000001" w:usb1="02000000" w:usb2="08000000" w:usb3="00000000" w:csb0="00000001" w:csb1="00000000"/>
  </w:font>
  <w:font w:name="MS PGothic">
    <w:panose1 w:val="020B0600070205080204"/>
    <w:charset w:val="80"/>
    <w:family w:val="auto"/>
    <w:pitch w:val="default"/>
    <w:sig w:usb0="E00002FF" w:usb1="6AC7FDFB" w:usb2="08000012" w:usb3="00000000" w:csb0="4002009F" w:csb1="DFD7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CF818BC"/>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233DFAC">
    <w:r>
      <w:drawing>
        <wp:anchor distT="0" distB="0" distL="114300" distR="114300" simplePos="0" relativeHeight="251659264" behindDoc="1" locked="0" layoutInCell="0" allowOverlap="1">
          <wp:simplePos x="0" y="0"/>
          <wp:positionH relativeFrom="margin">
            <wp:align>center</wp:align>
          </wp:positionH>
          <wp:positionV relativeFrom="margin">
            <wp:align>center</wp:align>
          </wp:positionV>
          <wp:extent cx="5257800" cy="8858250"/>
          <wp:effectExtent l="0" t="0" r="0" b="6350"/>
          <wp:wrapNone/>
          <wp:docPr id="36" name="WordPictureWatermark1" descr="image8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WordPictureWatermark1" descr="image899"/>
                  <pic:cNvPicPr>
                    <a:picLocks noChangeAspect="1"/>
                  </pic:cNvPicPr>
                </pic:nvPicPr>
                <pic:blipFill>
                  <a:blip r:embed="rId1"/>
                  <a:stretch>
                    <a:fillRect/>
                  </a:stretch>
                </pic:blipFill>
                <pic:spPr>
                  <a:xfrm>
                    <a:off x="0" y="0"/>
                    <a:ext cx="5257800" cy="8858250"/>
                  </a:xfrm>
                  <a:prstGeom prst="rect">
                    <a:avLst/>
                  </a:prstGeom>
                  <a:noFill/>
                  <a:ln>
                    <a:noFill/>
                  </a:ln>
                </pic:spPr>
              </pic:pic>
            </a:graphicData>
          </a:graphic>
        </wp:anchor>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239341B"/>
    <w:multiLevelType w:val="singleLevel"/>
    <w:tmpl w:val="9239341B"/>
    <w:lvl w:ilvl="0" w:tentative="0">
      <w:start w:val="2"/>
      <w:numFmt w:val="decimal"/>
      <w:lvlText w:val="%1."/>
      <w:lvlJc w:val="left"/>
      <w:rPr>
        <w:color w:val="3370FF"/>
      </w:rPr>
    </w:lvl>
  </w:abstractNum>
  <w:abstractNum w:abstractNumId="1">
    <w:nsid w:val="9C8AC8EF"/>
    <w:multiLevelType w:val="singleLevel"/>
    <w:tmpl w:val="9C8AC8EF"/>
    <w:lvl w:ilvl="0" w:tentative="0">
      <w:start w:val="0"/>
      <w:numFmt w:val="bullet"/>
      <w:lvlText w:val="•"/>
      <w:lvlJc w:val="left"/>
      <w:rPr>
        <w:color w:val="3370FF"/>
      </w:rPr>
    </w:lvl>
  </w:abstractNum>
  <w:abstractNum w:abstractNumId="2">
    <w:nsid w:val="B5E306ED"/>
    <w:multiLevelType w:val="singleLevel"/>
    <w:tmpl w:val="B5E306ED"/>
    <w:lvl w:ilvl="0" w:tentative="0">
      <w:start w:val="0"/>
      <w:numFmt w:val="bullet"/>
      <w:lvlText w:val="•"/>
      <w:lvlJc w:val="left"/>
      <w:rPr>
        <w:color w:val="3370FF"/>
      </w:rPr>
    </w:lvl>
  </w:abstractNum>
  <w:abstractNum w:abstractNumId="3">
    <w:nsid w:val="BF205925"/>
    <w:multiLevelType w:val="singleLevel"/>
    <w:tmpl w:val="BF205925"/>
    <w:lvl w:ilvl="0" w:tentative="0">
      <w:start w:val="0"/>
      <w:numFmt w:val="bullet"/>
      <w:lvlText w:val="•"/>
      <w:lvlJc w:val="left"/>
      <w:rPr>
        <w:color w:val="3370FF"/>
      </w:rPr>
    </w:lvl>
  </w:abstractNum>
  <w:abstractNum w:abstractNumId="4">
    <w:nsid w:val="C8879AEF"/>
    <w:multiLevelType w:val="singleLevel"/>
    <w:tmpl w:val="C8879AEF"/>
    <w:lvl w:ilvl="0" w:tentative="0">
      <w:start w:val="0"/>
      <w:numFmt w:val="bullet"/>
      <w:lvlText w:val="•"/>
      <w:lvlJc w:val="left"/>
      <w:rPr>
        <w:color w:val="3370FF"/>
      </w:rPr>
    </w:lvl>
  </w:abstractNum>
  <w:abstractNum w:abstractNumId="5">
    <w:nsid w:val="CF092B84"/>
    <w:multiLevelType w:val="singleLevel"/>
    <w:tmpl w:val="CF092B84"/>
    <w:lvl w:ilvl="0" w:tentative="0">
      <w:start w:val="0"/>
      <w:numFmt w:val="bullet"/>
      <w:lvlText w:val="•"/>
      <w:lvlJc w:val="left"/>
      <w:rPr>
        <w:color w:val="3370FF"/>
      </w:rPr>
    </w:lvl>
  </w:abstractNum>
  <w:abstractNum w:abstractNumId="6">
    <w:nsid w:val="D7F9FE59"/>
    <w:multiLevelType w:val="singleLevel"/>
    <w:tmpl w:val="D7F9FE59"/>
    <w:lvl w:ilvl="0" w:tentative="0">
      <w:start w:val="0"/>
      <w:numFmt w:val="bullet"/>
      <w:lvlText w:val="•"/>
      <w:lvlJc w:val="left"/>
      <w:rPr>
        <w:color w:val="3370FF"/>
      </w:rPr>
    </w:lvl>
  </w:abstractNum>
  <w:abstractNum w:abstractNumId="7">
    <w:nsid w:val="DCBA6B53"/>
    <w:multiLevelType w:val="singleLevel"/>
    <w:tmpl w:val="DCBA6B53"/>
    <w:lvl w:ilvl="0" w:tentative="0">
      <w:start w:val="0"/>
      <w:numFmt w:val="bullet"/>
      <w:lvlText w:val="•"/>
      <w:lvlJc w:val="left"/>
      <w:rPr>
        <w:color w:val="3370FF"/>
      </w:rPr>
    </w:lvl>
  </w:abstractNum>
  <w:abstractNum w:abstractNumId="8">
    <w:nsid w:val="F4B5D9F5"/>
    <w:multiLevelType w:val="singleLevel"/>
    <w:tmpl w:val="F4B5D9F5"/>
    <w:lvl w:ilvl="0" w:tentative="0">
      <w:start w:val="0"/>
      <w:numFmt w:val="bullet"/>
      <w:lvlText w:val="•"/>
      <w:lvlJc w:val="left"/>
      <w:rPr>
        <w:color w:val="3370FF"/>
      </w:rPr>
    </w:lvl>
  </w:abstractNum>
  <w:abstractNum w:abstractNumId="9">
    <w:nsid w:val="0053208E"/>
    <w:multiLevelType w:val="singleLevel"/>
    <w:tmpl w:val="0053208E"/>
    <w:lvl w:ilvl="0" w:tentative="0">
      <w:start w:val="0"/>
      <w:numFmt w:val="bullet"/>
      <w:lvlText w:val="•"/>
      <w:lvlJc w:val="left"/>
      <w:rPr>
        <w:color w:val="3370FF"/>
      </w:rPr>
    </w:lvl>
  </w:abstractNum>
  <w:abstractNum w:abstractNumId="10">
    <w:nsid w:val="0248C179"/>
    <w:multiLevelType w:val="singleLevel"/>
    <w:tmpl w:val="0248C179"/>
    <w:lvl w:ilvl="0" w:tentative="0">
      <w:start w:val="1"/>
      <w:numFmt w:val="decimal"/>
      <w:lvlText w:val="%1."/>
      <w:lvlJc w:val="left"/>
      <w:rPr>
        <w:color w:val="3370FF"/>
      </w:rPr>
    </w:lvl>
  </w:abstractNum>
  <w:abstractNum w:abstractNumId="11">
    <w:nsid w:val="03D62ECE"/>
    <w:multiLevelType w:val="singleLevel"/>
    <w:tmpl w:val="03D62ECE"/>
    <w:lvl w:ilvl="0" w:tentative="0">
      <w:start w:val="0"/>
      <w:numFmt w:val="bullet"/>
      <w:lvlText w:val="•"/>
      <w:lvlJc w:val="left"/>
      <w:rPr>
        <w:color w:val="3370FF"/>
      </w:rPr>
    </w:lvl>
  </w:abstractNum>
  <w:abstractNum w:abstractNumId="12">
    <w:nsid w:val="0E640482"/>
    <w:multiLevelType w:val="singleLevel"/>
    <w:tmpl w:val="0E640482"/>
    <w:lvl w:ilvl="0" w:tentative="0">
      <w:start w:val="0"/>
      <w:numFmt w:val="bullet"/>
      <w:lvlText w:val="•"/>
      <w:lvlJc w:val="left"/>
      <w:rPr>
        <w:color w:val="3370FF"/>
      </w:rPr>
    </w:lvl>
  </w:abstractNum>
  <w:abstractNum w:abstractNumId="13">
    <w:nsid w:val="2470EC97"/>
    <w:multiLevelType w:val="singleLevel"/>
    <w:tmpl w:val="2470EC97"/>
    <w:lvl w:ilvl="0" w:tentative="0">
      <w:start w:val="0"/>
      <w:numFmt w:val="bullet"/>
      <w:lvlText w:val="•"/>
      <w:lvlJc w:val="left"/>
      <w:rPr>
        <w:color w:val="3370FF"/>
      </w:rPr>
    </w:lvl>
  </w:abstractNum>
  <w:abstractNum w:abstractNumId="14">
    <w:nsid w:val="25B654F3"/>
    <w:multiLevelType w:val="singleLevel"/>
    <w:tmpl w:val="25B654F3"/>
    <w:lvl w:ilvl="0" w:tentative="0">
      <w:start w:val="0"/>
      <w:numFmt w:val="bullet"/>
      <w:lvlText w:val="•"/>
      <w:lvlJc w:val="left"/>
      <w:rPr>
        <w:color w:val="3370FF"/>
      </w:rPr>
    </w:lvl>
  </w:abstractNum>
  <w:abstractNum w:abstractNumId="15">
    <w:nsid w:val="2A8F537B"/>
    <w:multiLevelType w:val="singleLevel"/>
    <w:tmpl w:val="2A8F537B"/>
    <w:lvl w:ilvl="0" w:tentative="0">
      <w:start w:val="3"/>
      <w:numFmt w:val="decimal"/>
      <w:lvlText w:val="%1."/>
      <w:lvlJc w:val="left"/>
      <w:rPr>
        <w:color w:val="3370FF"/>
      </w:rPr>
    </w:lvl>
  </w:abstractNum>
  <w:abstractNum w:abstractNumId="16">
    <w:nsid w:val="4C1BAE26"/>
    <w:multiLevelType w:val="singleLevel"/>
    <w:tmpl w:val="4C1BAE26"/>
    <w:lvl w:ilvl="0" w:tentative="0">
      <w:start w:val="0"/>
      <w:numFmt w:val="bullet"/>
      <w:lvlText w:val="•"/>
      <w:lvlJc w:val="left"/>
      <w:rPr>
        <w:color w:val="3370FF"/>
      </w:rPr>
    </w:lvl>
  </w:abstractNum>
  <w:abstractNum w:abstractNumId="17">
    <w:nsid w:val="4D4DC07F"/>
    <w:multiLevelType w:val="singleLevel"/>
    <w:tmpl w:val="4D4DC07F"/>
    <w:lvl w:ilvl="0" w:tentative="0">
      <w:start w:val="0"/>
      <w:numFmt w:val="bullet"/>
      <w:lvlText w:val="•"/>
      <w:lvlJc w:val="left"/>
      <w:rPr>
        <w:color w:val="3370FF"/>
      </w:rPr>
    </w:lvl>
  </w:abstractNum>
  <w:abstractNum w:abstractNumId="18">
    <w:nsid w:val="59ADCABA"/>
    <w:multiLevelType w:val="singleLevel"/>
    <w:tmpl w:val="59ADCABA"/>
    <w:lvl w:ilvl="0" w:tentative="0">
      <w:start w:val="0"/>
      <w:numFmt w:val="bullet"/>
      <w:lvlText w:val="•"/>
      <w:lvlJc w:val="left"/>
      <w:rPr>
        <w:color w:val="3370FF"/>
      </w:rPr>
    </w:lvl>
  </w:abstractNum>
  <w:abstractNum w:abstractNumId="19">
    <w:nsid w:val="5A241D34"/>
    <w:multiLevelType w:val="singleLevel"/>
    <w:tmpl w:val="5A241D34"/>
    <w:lvl w:ilvl="0" w:tentative="0">
      <w:start w:val="4"/>
      <w:numFmt w:val="decimal"/>
      <w:lvlText w:val="%1."/>
      <w:lvlJc w:val="left"/>
      <w:rPr>
        <w:color w:val="3370FF"/>
      </w:rPr>
    </w:lvl>
  </w:abstractNum>
  <w:abstractNum w:abstractNumId="20">
    <w:nsid w:val="60382F6E"/>
    <w:multiLevelType w:val="singleLevel"/>
    <w:tmpl w:val="60382F6E"/>
    <w:lvl w:ilvl="0" w:tentative="0">
      <w:start w:val="0"/>
      <w:numFmt w:val="bullet"/>
      <w:lvlText w:val="•"/>
      <w:lvlJc w:val="left"/>
      <w:rPr>
        <w:color w:val="3370FF"/>
      </w:rPr>
    </w:lvl>
  </w:abstractNum>
  <w:abstractNum w:abstractNumId="21">
    <w:nsid w:val="72183CF9"/>
    <w:multiLevelType w:val="singleLevel"/>
    <w:tmpl w:val="72183CF9"/>
    <w:lvl w:ilvl="0" w:tentative="0">
      <w:start w:val="0"/>
      <w:numFmt w:val="bullet"/>
      <w:lvlText w:val="•"/>
      <w:lvlJc w:val="left"/>
      <w:rPr>
        <w:color w:val="3370FF"/>
      </w:rPr>
    </w:lvl>
  </w:abstractNum>
  <w:num w:numId="1">
    <w:abstractNumId w:val="9"/>
  </w:num>
  <w:num w:numId="2">
    <w:abstractNumId w:val="5"/>
  </w:num>
  <w:num w:numId="3">
    <w:abstractNumId w:val="18"/>
  </w:num>
  <w:num w:numId="4">
    <w:abstractNumId w:val="3"/>
  </w:num>
  <w:num w:numId="5">
    <w:abstractNumId w:val="2"/>
  </w:num>
  <w:num w:numId="6">
    <w:abstractNumId w:val="11"/>
  </w:num>
  <w:num w:numId="7">
    <w:abstractNumId w:val="14"/>
  </w:num>
  <w:num w:numId="8">
    <w:abstractNumId w:val="21"/>
  </w:num>
  <w:num w:numId="9">
    <w:abstractNumId w:val="10"/>
  </w:num>
  <w:num w:numId="10">
    <w:abstractNumId w:val="0"/>
  </w:num>
  <w:num w:numId="11">
    <w:abstractNumId w:val="15"/>
  </w:num>
  <w:num w:numId="12">
    <w:abstractNumId w:val="19"/>
  </w:num>
  <w:num w:numId="13">
    <w:abstractNumId w:val="4"/>
  </w:num>
  <w:num w:numId="14">
    <w:abstractNumId w:val="17"/>
  </w:num>
  <w:num w:numId="15">
    <w:abstractNumId w:val="8"/>
  </w:num>
  <w:num w:numId="16">
    <w:abstractNumId w:val="13"/>
  </w:num>
  <w:num w:numId="17">
    <w:abstractNumId w:val="7"/>
  </w:num>
  <w:num w:numId="18">
    <w:abstractNumId w:val="6"/>
  </w:num>
  <w:num w:numId="19">
    <w:abstractNumId w:val="1"/>
  </w:num>
  <w:num w:numId="20">
    <w:abstractNumId w:val="16"/>
  </w:num>
  <w:num w:numId="21">
    <w:abstractNumId w:val="20"/>
  </w:num>
  <w:num w:numId="22">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documentProtection w:enforcement="0"/>
  <w:hdrShapeDefaults>
    <o:shapelayout v:ext="edit">
      <o:idmap v:ext="edit" data="2"/>
    </o:shapelayout>
  </w:hdrShapeDefault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21135434"/>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sz w:val="21"/>
      <w:szCs w:val="22"/>
    </w:rPr>
  </w:style>
  <w:style w:type="character" w:default="1" w:styleId="3">
    <w:name w:val="Default Paragraph Font"/>
    <w:semiHidden/>
    <w:qFormat/>
    <w:uiPriority w:val="0"/>
  </w:style>
  <w:style w:type="table" w:default="1" w:styleId="2">
    <w:name w:val="Normal Table"/>
    <w:semiHidden/>
    <w:qFormat/>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9" Type="http://schemas.openxmlformats.org/officeDocument/2006/relationships/image" Target="media/image5.jpeg"/><Relationship Id="rId8" Type="http://schemas.openxmlformats.org/officeDocument/2006/relationships/image" Target="media/image4.png"/><Relationship Id="rId7" Type="http://schemas.openxmlformats.org/officeDocument/2006/relationships/image" Target="media/image3.jpeg"/><Relationship Id="rId6" Type="http://schemas.openxmlformats.org/officeDocument/2006/relationships/image" Target="media/image2.jpeg"/><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2" Type="http://schemas.openxmlformats.org/officeDocument/2006/relationships/fontTable" Target="fontTable.xml"/><Relationship Id="rId21" Type="http://schemas.openxmlformats.org/officeDocument/2006/relationships/numbering" Target="numbering.xml"/><Relationship Id="rId20" Type="http://schemas.openxmlformats.org/officeDocument/2006/relationships/image" Target="media/image16.jpeg"/><Relationship Id="rId2" Type="http://schemas.openxmlformats.org/officeDocument/2006/relationships/settings" Target="settings.xml"/><Relationship Id="rId19" Type="http://schemas.openxmlformats.org/officeDocument/2006/relationships/image" Target="media/image15.jpeg"/><Relationship Id="rId18" Type="http://schemas.openxmlformats.org/officeDocument/2006/relationships/image" Target="media/image14.jpeg"/><Relationship Id="rId17" Type="http://schemas.openxmlformats.org/officeDocument/2006/relationships/image" Target="media/image13.jpeg"/><Relationship Id="rId16" Type="http://schemas.openxmlformats.org/officeDocument/2006/relationships/image" Target="media/image12.jpeg"/><Relationship Id="rId15" Type="http://schemas.openxmlformats.org/officeDocument/2006/relationships/image" Target="media/image11.jpeg"/><Relationship Id="rId14" Type="http://schemas.openxmlformats.org/officeDocument/2006/relationships/image" Target="media/image10.jpeg"/><Relationship Id="rId13" Type="http://schemas.openxmlformats.org/officeDocument/2006/relationships/image" Target="media/image9.jpeg"/><Relationship Id="rId12" Type="http://schemas.openxmlformats.org/officeDocument/2006/relationships/image" Target="media/image8.jpeg"/><Relationship Id="rId11" Type="http://schemas.openxmlformats.org/officeDocument/2006/relationships/image" Target="media/image7.jpeg"/><Relationship Id="rId10" Type="http://schemas.openxmlformats.org/officeDocument/2006/relationships/image" Target="media/image6.jpeg"/><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12</Pages>
  <Words>251</Words>
  <Characters>1044</Characters>
  <TotalTime>0</TotalTime>
  <ScaleCrop>false</ScaleCrop>
  <LinksUpToDate>false</LinksUpToDate>
  <CharactersWithSpaces>1249</CharactersWithSpaces>
  <Application>WPS Office_12.1.0.26895_F1E327BC-269C-435d-A152-05C5408002CA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2026-07-01T06:11:00Z</dcterms:created>
  <dc:creator>Apache POI</dc:creator>
  <cp:lastModifiedBy>kawi</cp:lastModifiedBy>
  <dcterms:modified xsi:type="dcterms:W3CDTF">2026-07-01T06:58:52Z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eyJoZGlkIjoiYmFjZmJjOWFlMGI1YWNmOTU2ODBhMDk0Zjk4ODYzYmYiLCJ1c2VySWQiOiI3NDk1NDcxOTcifQ==</vt:lpwstr>
  </property>
  <property fmtid="{D5CDD505-2E9C-101B-9397-08002B2CF9AE}" pid="3" name="KSOProductBuildVer">
    <vt:lpwstr>2052-12.1.0.26895</vt:lpwstr>
  </property>
  <property fmtid="{D5CDD505-2E9C-101B-9397-08002B2CF9AE}" pid="4" name="ICV">
    <vt:lpwstr>CC13024886F7475F939CE632B6C5CDEB_13</vt:lpwstr>
  </property>
</Properties>
</file>