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352"/>
            <w:shd w:fill="111827"/>
            <w:tcBorders>
              <w:top w:val="single" w:sz="2" w:color="111827"/>
              <w:left w:val="single" w:sz="2" w:color="111827"/>
              <w:bottom w:val="single" w:sz="2" w:color="111827"/>
              <w:right w:val="single" w:sz="2" w:color="111827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F5F7FA"/>
                <w:sz w:val="19"/>
              </w:rPr>
              <w:t>CYBER THREATS &amp; VULNERABILITIES // ASSIGNMENT #5</w:t>
            </w:r>
          </w:p>
        </w:tc>
        <w:tc>
          <w:tcPr>
            <w:tcW w:type="dxa" w:w="2880"/>
            <w:shd w:fill="111827"/>
            <w:tcBorders>
              <w:top w:val="single" w:sz="2" w:color="111827"/>
              <w:left w:val="single" w:sz="2" w:color="111827"/>
              <w:bottom w:val="single" w:sz="2" w:color="111827"/>
              <w:right w:val="single" w:sz="2" w:color="111827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jc w:val="right"/>
            </w:pPr>
            <w:r>
              <w:rPr>
                <w:color w:val="BEF7FB"/>
                <w:sz w:val="18"/>
              </w:rPr>
              <w:t>DeRexi: Policy Pilot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181D26"/>
          <w:sz w:val="42"/>
        </w:rPr>
        <w:t>Implement Security Monitoring and Incident Response</w:t>
      </w:r>
    </w:p>
    <w:p>
      <w:pPr>
        <w:spacing w:after="140"/>
      </w:pPr>
      <w:r>
        <w:rPr>
          <w:color w:val="646C78"/>
          <w:sz w:val="19"/>
        </w:rPr>
        <w:t>A basic DeRexi monitoring use case plus one documented incident-response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BFD"/>
            <w:tcBorders>
              <w:top w:val="single" w:sz="7" w:color="8FDDE5"/>
              <w:left w:val="single" w:sz="7" w:color="8FDDE5"/>
              <w:bottom w:val="single" w:sz="7" w:color="8FDDE5"/>
              <w:right w:val="single" w:sz="7" w:color="8FDDE5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11424F"/>
                <w:sz w:val="17"/>
              </w:rPr>
              <w:t>ASSIGNMENT OBJECTIVE</w:t>
            </w:r>
          </w:p>
          <w:p>
            <w:pPr>
              <w:spacing w:after="0"/>
            </w:pPr>
            <w:r>
              <w:rPr>
                <w:color w:val="24282E"/>
                <w:sz w:val="17"/>
              </w:rPr>
              <w:t>Show security monitoring knowledge through one monitoring use case with detection rules, alert prioritization, and response procedures; then document one incident-response scenario with classification, response steps, and lessons learned.</w:t>
            </w:r>
          </w:p>
        </w:tc>
      </w:tr>
    </w:tbl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1. Basic security monitoring use case</w:t>
      </w:r>
    </w:p>
    <w:p>
      <w:r>
        <w:rPr>
          <w:sz w:val="18"/>
        </w:rPr>
        <w:t>Use case: Detect suspicious command execution and credential activity on a DeRexi employee endpoint. The use case reuses the APT38 / BeagleBoyz educational scenario already developed for the banking context, but turns it into explicit monitoring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color w:val="F5F7FA"/>
                <w:sz w:val="15"/>
              </w:rPr>
              <w:t>Log source / event</w:t>
            </w:r>
          </w:p>
        </w:tc>
        <w:tc>
          <w:tcPr>
            <w:tcW w:type="dxa" w:w="4320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color w:val="F5F7FA"/>
                <w:sz w:val="15"/>
              </w:rPr>
              <w:t>Detection rule</w:t>
            </w:r>
          </w:p>
        </w:tc>
        <w:tc>
          <w:tcPr>
            <w:tcW w:type="dxa" w:w="1440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color w:val="F5F7FA"/>
                <w:sz w:val="15"/>
              </w:rPr>
              <w:t>Initial priority</w:t>
            </w:r>
          </w:p>
        </w:tc>
        <w:tc>
          <w:tcPr>
            <w:tcW w:type="dxa" w:w="2880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color w:val="F5F7FA"/>
                <w:sz w:val="15"/>
              </w:rPr>
              <w:t>Why it matters</w:t>
            </w:r>
          </w:p>
        </w:tc>
      </w:tr>
      <w:tr>
        <w:tc>
          <w:tcPr>
            <w:tcW w:type="dxa" w:w="259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PowerShell Operational / 4104</w:t>
            </w:r>
          </w:p>
        </w:tc>
        <w:tc>
          <w:tcPr>
            <w:tcW w:type="dxa" w:w="432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Alert when script-block logging shows suspicious encoded commands, download/execution behavior, or unexpected PowerShell from a user workstation.</w:t>
            </w:r>
          </w:p>
        </w:tc>
        <w:tc>
          <w:tcPr>
            <w:tcW w:type="dxa" w:w="14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P2</w:t>
            </w:r>
          </w:p>
        </w:tc>
        <w:tc>
          <w:tcPr>
            <w:tcW w:type="dxa" w:w="28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Could indicate attacker-controlled execution.</w:t>
            </w:r>
          </w:p>
        </w:tc>
      </w:tr>
      <w:tr>
        <w:tc>
          <w:tcPr>
            <w:tcW w:type="dxa" w:w="2592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Windows System / 7045</w:t>
            </w:r>
          </w:p>
        </w:tc>
        <w:tc>
          <w:tcPr>
            <w:tcW w:type="dxa" w:w="432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Alert on creation of a previously unseen Windows service on an employee endpoint.</w:t>
            </w:r>
          </w:p>
        </w:tc>
        <w:tc>
          <w:tcPr>
            <w:tcW w:type="dxa" w:w="144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P2</w:t>
            </w:r>
          </w:p>
        </w:tc>
        <w:tc>
          <w:tcPr>
            <w:tcW w:type="dxa" w:w="288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Can indicate persistence.</w:t>
            </w:r>
          </w:p>
        </w:tc>
      </w:tr>
      <w:tr>
        <w:tc>
          <w:tcPr>
            <w:tcW w:type="dxa" w:w="259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Windows Security / 4625</w:t>
            </w:r>
          </w:p>
        </w:tc>
        <w:tc>
          <w:tcPr>
            <w:tcW w:type="dxa" w:w="432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Alert when 5+ failed logons occur within 10 minutes for one account/source.</w:t>
            </w:r>
          </w:p>
        </w:tc>
        <w:tc>
          <w:tcPr>
            <w:tcW w:type="dxa" w:w="14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P2</w:t>
            </w:r>
          </w:p>
        </w:tc>
        <w:tc>
          <w:tcPr>
            <w:tcW w:type="dxa" w:w="28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Could indicate brute force or credential misuse.</w:t>
            </w:r>
          </w:p>
        </w:tc>
      </w:tr>
      <w:tr>
        <w:tc>
          <w:tcPr>
            <w:tcW w:type="dxa" w:w="2592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Correlation rule</w:t>
            </w:r>
          </w:p>
        </w:tc>
        <w:tc>
          <w:tcPr>
            <w:tcW w:type="dxa" w:w="432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Raise to P1 when two or more detections occur on the same endpoint/account within 30 minutes, especially on a privileged account or critical system.</w:t>
            </w:r>
          </w:p>
        </w:tc>
        <w:tc>
          <w:tcPr>
            <w:tcW w:type="dxa" w:w="144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P1</w:t>
            </w:r>
          </w:p>
        </w:tc>
        <w:tc>
          <w:tcPr>
            <w:tcW w:type="dxa" w:w="288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2" w:type="dxa"/>
              <w:start w:w="58" w:type="dxa"/>
              <w:bottom w:w="52" w:type="dxa"/>
              <w:end w:w="58" w:type="dxa"/>
            </w:tcMar>
          </w:tcPr>
          <w:p>
            <w:r>
              <w:rPr>
                <w:color w:val="24282E"/>
                <w:sz w:val="14"/>
              </w:rPr>
              <w:t>Multiple behaviors increase confidence that the activity is malicious.</w:t>
            </w:r>
          </w:p>
        </w:tc>
      </w:tr>
    </w:tbl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2. Alert prioritization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72033"/>
            <w:tcBorders>
              <w:top w:val="single" w:sz="5" w:color="172033"/>
              <w:left w:val="single" w:sz="5" w:color="172033"/>
              <w:bottom w:val="single" w:sz="5" w:color="172033"/>
              <w:right w:val="single" w:sz="5" w:color="172033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F5F7FA"/>
                <w:sz w:val="16"/>
              </w:rPr>
              <w:t>Priority</w:t>
            </w:r>
          </w:p>
        </w:tc>
        <w:tc>
          <w:tcPr>
            <w:tcW w:type="dxa" w:w="3600"/>
            <w:shd w:fill="172033"/>
            <w:tcBorders>
              <w:top w:val="single" w:sz="5" w:color="172033"/>
              <w:left w:val="single" w:sz="5" w:color="172033"/>
              <w:bottom w:val="single" w:sz="5" w:color="172033"/>
              <w:right w:val="single" w:sz="5" w:color="172033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F5F7FA"/>
                <w:sz w:val="16"/>
              </w:rPr>
              <w:t>Criteria</w:t>
            </w:r>
          </w:p>
        </w:tc>
        <w:tc>
          <w:tcPr>
            <w:tcW w:type="dxa" w:w="3600"/>
            <w:shd w:fill="172033"/>
            <w:tcBorders>
              <w:top w:val="single" w:sz="5" w:color="172033"/>
              <w:left w:val="single" w:sz="5" w:color="172033"/>
              <w:bottom w:val="single" w:sz="5" w:color="172033"/>
              <w:right w:val="single" w:sz="5" w:color="172033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F5F7FA"/>
                <w:sz w:val="16"/>
              </w:rPr>
              <w:t>Expected action</w:t>
            </w:r>
          </w:p>
        </w:tc>
      </w:tr>
      <w:tr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24282E"/>
                <w:sz w:val="15"/>
              </w:rPr>
              <w:t>P1 - Critical</w:t>
            </w:r>
          </w:p>
        </w:tc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Correlated malicious behaviors, privileged account, critical server, or evidence of active compromise</w:t>
            </w:r>
          </w:p>
        </w:tc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Immediate analyst triage, isolate if confirmed, escalate incident response.</w:t>
            </w:r>
          </w:p>
        </w:tc>
      </w:tr>
      <w:tr>
        <w:tc>
          <w:tcPr>
            <w:tcW w:type="dxa" w:w="360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24282E"/>
                <w:sz w:val="15"/>
              </w:rPr>
              <w:t>P2 - High</w:t>
            </w:r>
          </w:p>
        </w:tc>
        <w:tc>
          <w:tcPr>
            <w:tcW w:type="dxa" w:w="360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Single high-confidence detection such as service creation or repeated authentication failure</w:t>
            </w:r>
          </w:p>
        </w:tc>
        <w:tc>
          <w:tcPr>
            <w:tcW w:type="dxa" w:w="360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Review within 15 minutes; gather endpoint, account, and network context.</w:t>
            </w:r>
          </w:p>
        </w:tc>
      </w:tr>
      <w:tr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/>
                <w:color w:val="24282E"/>
                <w:sz w:val="15"/>
              </w:rPr>
              <w:t>P3 - Medium/Low</w:t>
            </w:r>
          </w:p>
        </w:tc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Single low-confidence anomaly without corroborating evidence</w:t>
            </w:r>
          </w:p>
        </w:tc>
        <w:tc>
          <w:tcPr>
            <w:tcW w:type="dxa" w:w="360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58" w:type="dxa"/>
              <w:start w:w="70" w:type="dxa"/>
              <w:bottom w:w="58" w:type="dxa"/>
              <w:end w:w="70" w:type="dxa"/>
            </w:tcMar>
          </w:tcPr>
          <w:p>
            <w:r>
              <w:rPr>
                <w:b w:val="0"/>
                <w:color w:val="24282E"/>
                <w:sz w:val="15"/>
              </w:rPr>
              <w:t>Queue for review; enrich with user/device baseline and threat intelligence.</w:t>
            </w:r>
          </w:p>
        </w:tc>
      </w:tr>
    </w:tbl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3. Response procedure for the monitoring use case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Validate the alert by checking the user, endpoint, timestamp, command/service details, and surrounding authentication activity.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Contain confirmed suspicious activity by isolating the endpoint, disabling or locking affected accounts, and revoking active sessions.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Preserve PowerShell, Security, System, application, and network logs before remediation changes erase evidence.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Check whether DeRexi policy content, administrative configuration, or client-access paths were touched; compare against trusted versions and audit history.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Escalate P1 events to incident response, leadership, legal/compliance, and banking-client communication procedures when client impact is possible.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BF5E8"/>
            <w:tcBorders>
              <w:top w:val="single" w:sz="7" w:color="E7C98C"/>
              <w:left w:val="single" w:sz="7" w:color="E7C98C"/>
              <w:bottom w:val="single" w:sz="7" w:color="E7C98C"/>
              <w:right w:val="single" w:sz="7" w:color="E7C98C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11424F"/>
                <w:sz w:val="17"/>
              </w:rPr>
              <w:t>FUNCTIONALITY EVIDENCE</w:t>
            </w:r>
          </w:p>
          <w:p>
            <w:pPr>
              <w:spacing w:after="0"/>
            </w:pPr>
            <w:r>
              <w:rPr>
                <w:color w:val="24282E"/>
                <w:sz w:val="17"/>
              </w:rPr>
              <w:t>The rule set below is a documented monitoring configuration and educational validation model. The event sequence on page 2 demonstrates how the rules would fire and be prioritized. It is intentionally labeled simulated rather than presented as live production telemetry.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352"/>
            <w:shd w:fill="111827"/>
            <w:tcBorders>
              <w:top w:val="single" w:sz="2" w:color="111827"/>
              <w:left w:val="single" w:sz="2" w:color="111827"/>
              <w:bottom w:val="single" w:sz="2" w:color="111827"/>
              <w:right w:val="single" w:sz="2" w:color="111827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F5F7FA"/>
                <w:sz w:val="19"/>
              </w:rPr>
              <w:t>CYBER THREATS &amp; VULNERABILITIES // ASSIGNMENT #5</w:t>
            </w:r>
          </w:p>
        </w:tc>
        <w:tc>
          <w:tcPr>
            <w:tcW w:type="dxa" w:w="2880"/>
            <w:shd w:fill="111827"/>
            <w:tcBorders>
              <w:top w:val="single" w:sz="2" w:color="111827"/>
              <w:left w:val="single" w:sz="2" w:color="111827"/>
              <w:bottom w:val="single" w:sz="2" w:color="111827"/>
              <w:right w:val="single" w:sz="2" w:color="111827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jc w:val="right"/>
            </w:pPr>
            <w:r>
              <w:rPr>
                <w:color w:val="BEF7FB"/>
                <w:sz w:val="18"/>
              </w:rPr>
              <w:t>DeRexi: Policy Pilot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4. Incident-response scenario - APT38 / BeagleBoyz</w:t>
      </w:r>
    </w:p>
    <w:p>
      <w:r>
        <w:rPr>
          <w:b/>
          <w:color w:val="28374B"/>
          <w:sz w:val="17"/>
        </w:rPr>
        <w:t>Classification: HIGH severity | Categories: phishing/malware, unauthorized access, credential activity, persistence, discovery, and potential supply-chain exposure. Scenario status: fictional / educational.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08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5F7FA"/>
                <w:sz w:val="15"/>
              </w:rPr>
              <w:t>Time</w:t>
            </w:r>
          </w:p>
        </w:tc>
        <w:tc>
          <w:tcPr>
            <w:tcW w:type="dxa" w:w="4680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5F7FA"/>
                <w:sz w:val="15"/>
              </w:rPr>
              <w:t>Simulated event</w:t>
            </w:r>
          </w:p>
        </w:tc>
        <w:tc>
          <w:tcPr>
            <w:tcW w:type="dxa" w:w="2232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5F7FA"/>
                <w:sz w:val="15"/>
              </w:rPr>
              <w:t>Rule / priority</w:t>
            </w:r>
          </w:p>
        </w:tc>
        <w:tc>
          <w:tcPr>
            <w:tcW w:type="dxa" w:w="3240"/>
            <w:shd w:fill="172033"/>
            <w:tcBorders>
              <w:top w:val="single" w:sz="2" w:color="172033"/>
              <w:left w:val="single" w:sz="2" w:color="172033"/>
              <w:bottom w:val="single" w:sz="2" w:color="172033"/>
              <w:right w:val="single" w:sz="2" w:color="172033"/>
            </w:tcBorders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  <w:color w:val="F5F7FA"/>
                <w:sz w:val="15"/>
              </w:rPr>
              <w:t>Response</w:t>
            </w:r>
          </w:p>
        </w:tc>
      </w:tr>
      <w:tr>
        <w:tc>
          <w:tcPr>
            <w:tcW w:type="dxa" w:w="1008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08:47</w:t>
            </w:r>
          </w:p>
        </w:tc>
        <w:tc>
          <w:tcPr>
            <w:tcW w:type="dxa" w:w="46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Unusual PowerShell executes after a malicious policy-review attachment is opened.</w:t>
            </w:r>
          </w:p>
        </w:tc>
        <w:tc>
          <w:tcPr>
            <w:tcW w:type="dxa" w:w="223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4104 / P2</w:t>
            </w:r>
          </w:p>
        </w:tc>
        <w:tc>
          <w:tcPr>
            <w:tcW w:type="dxa" w:w="32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Begin triage; collect process and script context.</w:t>
            </w:r>
          </w:p>
        </w:tc>
      </w:tr>
      <w:tr>
        <w:tc>
          <w:tcPr>
            <w:tcW w:type="dxa" w:w="1008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09:03</w:t>
            </w:r>
          </w:p>
        </w:tc>
        <w:tc>
          <w:tcPr>
            <w:tcW w:type="dxa" w:w="468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Previously unseen Windows service is created.</w:t>
            </w:r>
          </w:p>
        </w:tc>
        <w:tc>
          <w:tcPr>
            <w:tcW w:type="dxa" w:w="2232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7045 / P2 -&gt; correlated P1</w:t>
            </w:r>
          </w:p>
        </w:tc>
        <w:tc>
          <w:tcPr>
            <w:tcW w:type="dxa" w:w="324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Escalate; prepare endpoint isolation.</w:t>
            </w:r>
          </w:p>
        </w:tc>
      </w:tr>
      <w:tr>
        <w:tc>
          <w:tcPr>
            <w:tcW w:type="dxa" w:w="1008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09:18</w:t>
            </w:r>
          </w:p>
        </w:tc>
        <w:tc>
          <w:tcPr>
            <w:tcW w:type="dxa" w:w="46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Repeated authentication attempts target additional internal accounts.</w:t>
            </w:r>
          </w:p>
        </w:tc>
        <w:tc>
          <w:tcPr>
            <w:tcW w:type="dxa" w:w="223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4625 / P2 -&gt; P1</w:t>
            </w:r>
          </w:p>
        </w:tc>
        <w:tc>
          <w:tcPr>
            <w:tcW w:type="dxa" w:w="32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Disable affected credentials; revoke sessions.</w:t>
            </w:r>
          </w:p>
        </w:tc>
      </w:tr>
      <w:tr>
        <w:tc>
          <w:tcPr>
            <w:tcW w:type="dxa" w:w="1008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09:31</w:t>
            </w:r>
          </w:p>
        </w:tc>
        <w:tc>
          <w:tcPr>
            <w:tcW w:type="dxa" w:w="468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Endpoint enumerates directories and network shares.</w:t>
            </w:r>
          </w:p>
        </w:tc>
        <w:tc>
          <w:tcPr>
            <w:tcW w:type="dxa" w:w="2232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Behavioral context / P1</w:t>
            </w:r>
          </w:p>
        </w:tc>
        <w:tc>
          <w:tcPr>
            <w:tcW w:type="dxa" w:w="324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Confirm active compromise; restrict access paths.</w:t>
            </w:r>
          </w:p>
        </w:tc>
      </w:tr>
      <w:tr>
        <w:tc>
          <w:tcPr>
            <w:tcW w:type="dxa" w:w="1008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10:02</w:t>
            </w:r>
          </w:p>
        </w:tc>
        <w:tc>
          <w:tcPr>
            <w:tcW w:type="dxa" w:w="46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Temporary artifacts disappear and timestamps appear abnormal.</w:t>
            </w:r>
          </w:p>
        </w:tc>
        <w:tc>
          <w:tcPr>
            <w:tcW w:type="dxa" w:w="223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Defense-evasion context / P1</w:t>
            </w:r>
          </w:p>
        </w:tc>
        <w:tc>
          <w:tcPr>
            <w:tcW w:type="dxa" w:w="32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Preserve centralized evidence; expand scope.</w:t>
            </w:r>
          </w:p>
        </w:tc>
      </w:tr>
      <w:tr>
        <w:tc>
          <w:tcPr>
            <w:tcW w:type="dxa" w:w="1008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10:09</w:t>
            </w:r>
          </w:p>
        </w:tc>
        <w:tc>
          <w:tcPr>
            <w:tcW w:type="dxa" w:w="468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Correlated alerts satisfy P1 incident threshold.</w:t>
            </w:r>
          </w:p>
        </w:tc>
        <w:tc>
          <w:tcPr>
            <w:tcW w:type="dxa" w:w="2232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Correlation / P1</w:t>
            </w:r>
          </w:p>
        </w:tc>
        <w:tc>
          <w:tcPr>
            <w:tcW w:type="dxa" w:w="3240"/>
            <w:shd w:fill="FFFFFF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Declare incident; activate response team.</w:t>
            </w:r>
          </w:p>
        </w:tc>
      </w:tr>
      <w:tr>
        <w:tc>
          <w:tcPr>
            <w:tcW w:type="dxa" w:w="1008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10:16</w:t>
            </w:r>
          </w:p>
        </w:tc>
        <w:tc>
          <w:tcPr>
            <w:tcW w:type="dxa" w:w="468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Endpoint isolated; accounts disabled; client-facing paths restricted.</w:t>
            </w:r>
          </w:p>
        </w:tc>
        <w:tc>
          <w:tcPr>
            <w:tcW w:type="dxa" w:w="2232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Containment</w:t>
            </w:r>
          </w:p>
        </w:tc>
        <w:tc>
          <w:tcPr>
            <w:tcW w:type="dxa" w:w="3240"/>
            <w:shd w:fill="F7F9FC"/>
            <w:tcBorders>
              <w:top w:val="single" w:sz="5" w:color="D9E0E8"/>
              <w:left w:val="single" w:sz="5" w:color="D9E0E8"/>
              <w:bottom w:val="single" w:sz="5" w:color="D9E0E8"/>
              <w:right w:val="single" w:sz="5" w:color="D9E0E8"/>
            </w:tcBorders>
            <w:tcMar>
              <w:top w:w="46" w:type="dxa"/>
              <w:start w:w="50" w:type="dxa"/>
              <w:bottom w:w="46" w:type="dxa"/>
              <w:end w:w="50" w:type="dxa"/>
            </w:tcMar>
          </w:tcPr>
          <w:p>
            <w:r>
              <w:rPr>
                <w:color w:val="24282E"/>
                <w:sz w:val="14"/>
              </w:rPr>
              <w:t>Move into eradication, recovery, and validation.</w:t>
            </w:r>
          </w:p>
        </w:tc>
      </w:tr>
    </w:tbl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5. Incident response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AFBFD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1 IDENTIFY</w:t>
              <w:br/>
            </w:r>
            <w:r>
              <w:rPr>
                <w:color w:val="24282E"/>
                <w:sz w:val="15"/>
              </w:rPr>
              <w:t>Correlate PowerShell, service creation, authentication, and discovery alerts.</w:t>
            </w:r>
          </w:p>
        </w:tc>
        <w:tc>
          <w:tcPr>
            <w:tcW w:type="dxa" w:w="5400"/>
            <w:shd w:fill="F7F9FC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2 CONTAIN</w:t>
              <w:br/>
            </w:r>
            <w:r>
              <w:rPr>
                <w:color w:val="24282E"/>
                <w:sz w:val="15"/>
              </w:rPr>
              <w:t>Isolate endpoint; disable accounts; revoke sessions; restrict client-facing access.</w:t>
            </w:r>
          </w:p>
        </w:tc>
      </w:tr>
      <w:tr>
        <w:tc>
          <w:tcPr>
            <w:tcW w:type="dxa" w:w="5400"/>
            <w:shd w:fill="EAFBFD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3 PRESERVE</w:t>
              <w:br/>
            </w:r>
            <w:r>
              <w:rPr>
                <w:color w:val="24282E"/>
                <w:sz w:val="15"/>
              </w:rPr>
              <w:t>Centralize and retain endpoint, identity, application, and network logs.</w:t>
            </w:r>
          </w:p>
        </w:tc>
        <w:tc>
          <w:tcPr>
            <w:tcW w:type="dxa" w:w="5400"/>
            <w:shd w:fill="F7F9FC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4 ERADICATE</w:t>
              <w:br/>
            </w:r>
            <w:r>
              <w:rPr>
                <w:color w:val="24282E"/>
                <w:sz w:val="15"/>
              </w:rPr>
              <w:t>Remove malicious persistence/tools; patch/harden affected systems; rotate credentials.</w:t>
            </w:r>
          </w:p>
        </w:tc>
      </w:tr>
      <w:tr>
        <w:tc>
          <w:tcPr>
            <w:tcW w:type="dxa" w:w="5400"/>
            <w:shd w:fill="EAFBFD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5 RECOVER</w:t>
              <w:br/>
            </w:r>
            <w:r>
              <w:rPr>
                <w:color w:val="24282E"/>
                <w:sz w:val="15"/>
              </w:rPr>
              <w:t>Restore trusted configurations and policy versions; validate user and client access.</w:t>
            </w:r>
          </w:p>
        </w:tc>
        <w:tc>
          <w:tcPr>
            <w:tcW w:type="dxa" w:w="5400"/>
            <w:shd w:fill="F7F9FC"/>
            <w:tcBorders>
              <w:top w:val="single" w:sz="5" w:color="A8DDE4"/>
              <w:left w:val="single" w:sz="5" w:color="A8DDE4"/>
              <w:bottom w:val="single" w:sz="5" w:color="A8DDE4"/>
              <w:right w:val="single" w:sz="5" w:color="A8DDE4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b/>
                <w:color w:val="17525D"/>
                <w:sz w:val="15"/>
              </w:rPr>
              <w:t>6 MONITOR</w:t>
              <w:br/>
            </w:r>
            <w:r>
              <w:rPr>
                <w:color w:val="24282E"/>
                <w:sz w:val="15"/>
              </w:rPr>
              <w:t>Watch for recurring authentication failures, PowerShell, new services, share discovery, and integrity changes.</w:t>
            </w:r>
          </w:p>
        </w:tc>
      </w:tr>
    </w:tbl>
    <w:p>
      <w:pPr>
        <w:spacing w:before="100" w:after="60"/>
        <w:pBdr>
          <w:bottom w:val="single" w:sz="9" w:space="2" w:color="34D6E8"/>
        </w:pBdr>
      </w:pPr>
      <w:r>
        <w:rPr>
          <w:b/>
          <w:color w:val="132236"/>
          <w:sz w:val="23"/>
        </w:rPr>
        <w:t>6. Lessons learned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Correlation matters: one event may be ambiguous, but PowerShell + service creation + repeated logon failures creates a much stronger signal.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Centralized logs protect the investigation trail when an attacker deletes local artifacts or changes timestamps.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Phishing-resistant MFA, least privilege, segmentation, and separation of administrative identities reduce the blast radius of credential compromise.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For DeRexi, policy integrity must be monitored like a security control because employees rely on the platform for trusted incident guidance.</w:t>
      </w:r>
    </w:p>
    <w:p>
      <w:pPr>
        <w:pStyle w:val="ListBullet"/>
        <w:spacing w:after="30"/>
        <w:ind w:left="259" w:hanging="158"/>
      </w:pPr>
      <w:r>
        <w:rPr>
          <w:color w:val="24282E"/>
          <w:sz w:val="17"/>
        </w:rPr>
        <w:t>A predefined client-communication and escalation process is necessary because a DeRexi compromise could create downstream banking risk.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CF8F0"/>
            <w:tcBorders>
              <w:top w:val="single" w:sz="7" w:color="A8D7B5"/>
              <w:left w:val="single" w:sz="7" w:color="A8D7B5"/>
              <w:bottom w:val="single" w:sz="7" w:color="A8D7B5"/>
              <w:right w:val="single" w:sz="7" w:color="A8D7B5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11424F"/>
                <w:sz w:val="17"/>
              </w:rPr>
              <w:t>ASSIGNMENT CRITERIA CHECK</w:t>
            </w:r>
          </w:p>
          <w:p>
            <w:pPr>
              <w:spacing w:after="0"/>
            </w:pPr>
            <w:r>
              <w:rPr>
                <w:color w:val="24282E"/>
                <w:sz w:val="17"/>
              </w:rPr>
              <w:t>1 monitoring use case with detection rules  ✓  |  Alert prioritization process  ✓  |  Response procedure  ✓  |  1 incident-response scenario with classification, response steps, and lessons learned  ✓  |  Simulated evidence clearly labeled  ✓</w:t>
            </w:r>
          </w:p>
        </w:tc>
      </w:tr>
    </w:tbl>
    <w:p>
      <w:pPr>
        <w:spacing w:before="80"/>
      </w:pPr>
      <w:r>
        <w:rPr>
          <w:b/>
          <w:color w:val="646C78"/>
          <w:sz w:val="15"/>
        </w:rPr>
        <w:t xml:space="preserve">SOURCE BASIS  </w:t>
      </w:r>
      <w:r>
        <w:rPr>
          <w:color w:val="646C78"/>
          <w:sz w:val="15"/>
        </w:rPr>
        <w:t>DeRexi APT38 / BeagleBoyz Incident MITRE Report; DeRexi Vulnerability Assessment Report; DeRexi Access Control Measures Report.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/>
    </w:pPr>
    <w:rPr>
      <w:rFonts w:ascii="Arial" w:hAnsi="Arial"/>
      <w:color w:val="2428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