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400"/>
        <w:gridCol w:w="5400"/>
      </w:tblGrid>
      <w:tr>
        <w:tc>
          <w:tcPr>
            <w:tcW w:type="dxa" w:w="8856"/>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r>
              <w:rPr>
                <w:b/>
                <w:color w:val="F6F8FB"/>
                <w:sz w:val="17"/>
              </w:rPr>
              <w:t>CYBER THREATS &amp; VULNERABILITIES // ASSIGNMENT #3</w:t>
            </w:r>
          </w:p>
        </w:tc>
        <w:tc>
          <w:tcPr>
            <w:tcW w:type="dxa" w:w="2448"/>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pPr>
              <w:jc w:val="right"/>
            </w:pPr>
            <w:r>
              <w:rPr>
                <w:color w:val="BEF7FB"/>
                <w:sz w:val="17"/>
              </w:rPr>
              <w:t>DeRexi: Policy Pilot</w:t>
            </w:r>
          </w:p>
        </w:tc>
      </w:tr>
    </w:tbl>
    <w:p>
      <w:pPr>
        <w:spacing w:after="0"/>
      </w:pPr>
    </w:p>
    <w:p>
      <w:pPr>
        <w:spacing w:after="0"/>
      </w:pPr>
      <w:r>
        <w:rPr>
          <w:b/>
          <w:color w:val="181D26"/>
          <w:sz w:val="41"/>
        </w:rPr>
        <w:t>Implement Threat Intelligence Principles</w:t>
      </w:r>
    </w:p>
    <w:p>
      <w:pPr>
        <w:spacing w:after="140"/>
      </w:pPr>
      <w:r>
        <w:rPr>
          <w:color w:val="626A76"/>
          <w:sz w:val="19"/>
        </w:rPr>
        <w:t>OpenCTI from GitHub + IOC analysis + vulnerability-risk integration for DeRexi</w:t>
      </w:r>
    </w:p>
    <w:tbl>
      <w:tblPr>
        <w:tblW w:type="auto" w:w="0"/>
        <w:tblLook w:firstColumn="1" w:firstRow="1" w:lastColumn="0" w:lastRow="0" w:noHBand="0" w:noVBand="1" w:val="04A0"/>
      </w:tblPr>
      <w:tblGrid>
        <w:gridCol w:w="10800"/>
      </w:tblGrid>
      <w:tr>
        <w:tc>
          <w:tcPr>
            <w:tcW w:type="dxa" w:w="10800"/>
            <w:shd w:fill="EAFBFD"/>
            <w:tcBorders>
              <w:top w:val="single" w:sz="7" w:color="8FDDE5"/>
              <w:left w:val="single" w:sz="7" w:color="8FDDE5"/>
              <w:bottom w:val="single" w:sz="7" w:color="8FDDE5"/>
              <w:right w:val="single" w:sz="7" w:color="8FDDE5"/>
            </w:tcBorders>
            <w:tcMar>
              <w:top w:w="95" w:type="dxa"/>
              <w:start w:w="120" w:type="dxa"/>
              <w:bottom w:w="95" w:type="dxa"/>
              <w:end w:w="120" w:type="dxa"/>
            </w:tcMar>
          </w:tcPr>
          <w:p>
            <w:r>
              <w:rPr>
                <w:b/>
                <w:color w:val="11424F"/>
                <w:sz w:val="17"/>
              </w:rPr>
              <w:t>INSTRUCTOR CLARIFICATION</w:t>
            </w:r>
          </w:p>
          <w:p>
            <w:pPr>
              <w:spacing w:after="0"/>
            </w:pPr>
            <w:r>
              <w:rPr>
                <w:color w:val="24282E"/>
                <w:sz w:val="17"/>
              </w:rPr>
              <w:t>This revised version uses the official OpenCTI GitHub project as the threat-intelligence foundation. It also explains why vulnerability scanning matters, what DeRexi should implement after scan findings are identified, and how the risk component benefits the project. The existing IOC analysis is retained.</w:t>
            </w:r>
          </w:p>
        </w:tc>
      </w:tr>
    </w:tbl>
    <w:p>
      <w:pPr>
        <w:spacing w:before="80" w:after="40"/>
        <w:pBdr>
          <w:bottom w:val="single" w:sz="8" w:space="2" w:color="34D6E8"/>
        </w:pBdr>
      </w:pPr>
      <w:r>
        <w:rPr>
          <w:b/>
          <w:color w:val="152234"/>
          <w:sz w:val="22"/>
        </w:rPr>
        <w:t>1. OpenCTI from GitHub - how DeRexi would use it</w:t>
      </w:r>
    </w:p>
    <w:p>
      <w:r>
        <w:rPr>
          <w:sz w:val="17"/>
        </w:rPr>
        <w:t>OpenCTI is an open-source cyber threat intelligence platform that organizes technical and non-technical threat information using STIX-based data. Its official GitHub ecosystem includes the core OpenCTI platform and a separate connectors repository used to ingest, enrich, or export threat-intelligence data.</w:t>
      </w:r>
    </w:p>
    <w:p>
      <w:pPr>
        <w:pStyle w:val="ListBullet"/>
        <w:spacing w:after="24"/>
        <w:ind w:left="259" w:hanging="158"/>
      </w:pPr>
      <w:r>
        <w:rPr>
          <w:color w:val="24282E"/>
          <w:sz w:val="17"/>
        </w:rPr>
        <w:t>DeRexi use case: centralize threat indicators, vulnerabilities, threat actors, attack techniques, and related evidence instead of keeping the information in separate notes or tools.</w:t>
      </w:r>
    </w:p>
    <w:p>
      <w:pPr>
        <w:pStyle w:val="ListBullet"/>
        <w:spacing w:after="24"/>
        <w:ind w:left="259" w:hanging="158"/>
      </w:pPr>
      <w:r>
        <w:rPr>
          <w:color w:val="24282E"/>
          <w:sz w:val="17"/>
        </w:rPr>
        <w:t>Implementation source: official OpenCTI-Platform/opencti and OpenCTI-Platform/connectors repositories on GitHub.</w:t>
      </w:r>
    </w:p>
    <w:p>
      <w:pPr>
        <w:pStyle w:val="ListBullet"/>
        <w:spacing w:after="24"/>
        <w:ind w:left="259" w:hanging="158"/>
      </w:pPr>
      <w:r>
        <w:rPr>
          <w:color w:val="24282E"/>
          <w:sz w:val="17"/>
        </w:rPr>
        <w:t>Connector strategy: use the CVE connector for vulnerability intelligence and the MITRE ATT&amp;CK connector for adversary behavior and technique context.</w:t>
      </w:r>
    </w:p>
    <w:p>
      <w:pPr>
        <w:pStyle w:val="ListBullet"/>
        <w:spacing w:after="24"/>
        <w:ind w:left="259" w:hanging="158"/>
      </w:pPr>
      <w:r>
        <w:rPr>
          <w:color w:val="24282E"/>
          <w:sz w:val="17"/>
        </w:rPr>
        <w:t>If deployed later, connectors require an OpenCTI URL and dedicated connector token; the connectors can be run through Docker or configured manually according to the official documentation.</w:t>
      </w:r>
    </w:p>
    <w:p>
      <w:pPr>
        <w:spacing w:before="80" w:after="40"/>
        <w:pBdr>
          <w:bottom w:val="single" w:sz="8" w:space="2" w:color="34D6E8"/>
        </w:pBdr>
      </w:pPr>
      <w:r>
        <w:rPr>
          <w:b/>
          <w:color w:val="152234"/>
          <w:sz w:val="22"/>
        </w:rPr>
        <w:t>2. Two IOC examples already available to DeRexi</w:t>
      </w:r>
    </w:p>
    <w:tbl>
      <w:tblPr>
        <w:tblW w:type="auto" w:w="0"/>
        <w:jc w:val="center"/>
        <w:tblLayout w:type="fixed"/>
        <w:tblLook w:firstColumn="1" w:firstRow="1" w:lastColumn="0" w:lastRow="0" w:noHBand="0" w:noVBand="1" w:val="04A0"/>
      </w:tblPr>
      <w:tblGrid>
        <w:gridCol w:w="2088"/>
        <w:gridCol w:w="9072"/>
      </w:tblGrid>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IOC type</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SHA-256 file hash</w:t>
            </w:r>
          </w:p>
        </w:tc>
      </w:tr>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Value</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02aac4d201886e01abd2e3d42a20edcb4e6c2381549de19df0b9166607cd3f51</w:t>
            </w:r>
          </w:p>
        </w:tc>
      </w:tr>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Detection</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Endpoint/EDR hash matching, SIEM searches, and threat-intelligence lookup.</w:t>
            </w:r>
          </w:p>
        </w:tc>
      </w:tr>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Threat relevance</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Identifies the malicious Linux shell-script dropper analyzed in the earlier malware dossier.</w:t>
            </w:r>
          </w:p>
        </w:tc>
      </w:tr>
    </w:tbl>
    <w:p>
      <w:pPr>
        <w:spacing w:after="0"/>
      </w:pPr>
    </w:p>
    <w:tbl>
      <w:tblPr>
        <w:tblW w:type="auto" w:w="0"/>
        <w:jc w:val="center"/>
        <w:tblLayout w:type="fixed"/>
        <w:tblLook w:firstColumn="1" w:firstRow="1" w:lastColumn="0" w:lastRow="0" w:noHBand="0" w:noVBand="1" w:val="04A0"/>
      </w:tblPr>
      <w:tblGrid>
        <w:gridCol w:w="2088"/>
        <w:gridCol w:w="9072"/>
      </w:tblGrid>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IOC type</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Malicious download infrastructure</w:t>
            </w:r>
          </w:p>
        </w:tc>
      </w:tr>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Value</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160.119.69.4 / http://160.119.69.4/x</w:t>
            </w:r>
          </w:p>
        </w:tc>
      </w:tr>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Detection</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Firewall, proxy, DNS, IDS/IPS, and outbound-connection monitoring.</w:t>
            </w:r>
          </w:p>
        </w:tc>
      </w:tr>
      <w:tr>
        <w:tc>
          <w:tcPr>
            <w:tcW w:type="dxa" w:w="5400"/>
            <w:shd w:fill="E7F7FA"/>
            <w:tcBorders>
              <w:top w:val="single" w:sz="5" w:color="A8DDE4"/>
              <w:left w:val="single" w:sz="5" w:color="A8DDE4"/>
              <w:bottom w:val="single" w:sz="5" w:color="A8DDE4"/>
              <w:right w:val="single" w:sz="5" w:color="A8DDE4"/>
            </w:tcBorders>
            <w:tcMar>
              <w:top w:w="55" w:type="dxa"/>
              <w:start w:w="70" w:type="dxa"/>
              <w:bottom w:w="55" w:type="dxa"/>
              <w:end w:w="70" w:type="dxa"/>
            </w:tcMar>
          </w:tcPr>
          <w:p>
            <w:r>
              <w:rPr>
                <w:b/>
                <w:color w:val="17525D"/>
                <w:sz w:val="15"/>
              </w:rPr>
              <w:t>Threat relevance</w:t>
            </w:r>
          </w:p>
        </w:tc>
        <w:tc>
          <w:tcPr>
            <w:tcW w:type="dxa" w:w="5400"/>
            <w:shd w:fill="FFFFFF"/>
            <w:tcBorders>
              <w:top w:val="single" w:sz="5" w:color="D9E0E8"/>
              <w:left w:val="single" w:sz="5" w:color="D9E0E8"/>
              <w:bottom w:val="single" w:sz="5" w:color="D9E0E8"/>
              <w:right w:val="single" w:sz="5" w:color="D9E0E8"/>
            </w:tcBorders>
            <w:tcMar>
              <w:top w:w="55" w:type="dxa"/>
              <w:start w:w="70" w:type="dxa"/>
              <w:bottom w:w="55" w:type="dxa"/>
              <w:end w:w="70" w:type="dxa"/>
            </w:tcMar>
          </w:tcPr>
          <w:p>
            <w:r>
              <w:rPr>
                <w:color w:val="24282E"/>
                <w:sz w:val="15"/>
              </w:rPr>
              <w:t>A DeRexi endpoint contacting this infrastructure could indicate payload staging or active compromise.</w:t>
            </w:r>
          </w:p>
        </w:tc>
      </w:tr>
    </w:tbl>
    <w:p>
      <w:pPr>
        <w:spacing w:before="80" w:after="40"/>
        <w:pBdr>
          <w:bottom w:val="single" w:sz="8" w:space="2" w:color="34D6E8"/>
        </w:pBdr>
      </w:pPr>
      <w:r>
        <w:rPr>
          <w:b/>
          <w:color w:val="152234"/>
          <w:sz w:val="22"/>
        </w:rPr>
        <w:t>3. Why vulnerability scanning matters</w:t>
      </w:r>
    </w:p>
    <w:p>
      <w:r>
        <w:rPr>
          <w:sz w:val="17"/>
        </w:rPr>
        <w:t>A vulnerability scan gives DeRexi evidence about what systems are reachable, which services are exposed, and where configuration or known-vulnerability risk may exist. It converts assumptions about security into findings that can be reviewed, prioritized, and remediated.</w:t>
      </w:r>
    </w:p>
    <w:tbl>
      <w:tblPr>
        <w:tblW w:type="auto" w:w="0"/>
        <w:jc w:val="center"/>
        <w:tblLayout w:type="fixed"/>
        <w:tblLook w:firstColumn="1" w:firstRow="1" w:lastColumn="0" w:lastRow="0" w:noHBand="0" w:noVBand="1" w:val="04A0"/>
      </w:tblPr>
      <w:tblGrid>
        <w:gridCol w:w="3600"/>
        <w:gridCol w:w="3600"/>
        <w:gridCol w:w="3600"/>
      </w:tblGrid>
      <w:tr>
        <w:tc>
          <w:tcPr>
            <w:tcW w:type="dxa" w:w="3600"/>
            <w:shd w:fill="172033"/>
            <w:tcBorders>
              <w:top w:val="single" w:sz="2" w:color="172033"/>
              <w:left w:val="single" w:sz="2" w:color="172033"/>
              <w:bottom w:val="single" w:sz="2" w:color="172033"/>
              <w:right w:val="single" w:sz="2" w:color="172033"/>
            </w:tcBorders>
            <w:tcMar>
              <w:top w:w="60" w:type="dxa"/>
              <w:start w:w="70" w:type="dxa"/>
              <w:bottom w:w="60" w:type="dxa"/>
              <w:end w:w="70" w:type="dxa"/>
            </w:tcMar>
          </w:tcPr>
          <w:p>
            <w:r>
              <w:rPr>
                <w:b/>
                <w:color w:val="F6F8FB"/>
                <w:sz w:val="15"/>
              </w:rPr>
              <w:t>Existing DeRexi scan evidence</w:t>
            </w:r>
          </w:p>
        </w:tc>
        <w:tc>
          <w:tcPr>
            <w:tcW w:type="dxa" w:w="3600"/>
            <w:shd w:fill="172033"/>
            <w:tcBorders>
              <w:top w:val="single" w:sz="2" w:color="172033"/>
              <w:left w:val="single" w:sz="2" w:color="172033"/>
              <w:bottom w:val="single" w:sz="2" w:color="172033"/>
              <w:right w:val="single" w:sz="2" w:color="172033"/>
            </w:tcBorders>
            <w:tcMar>
              <w:top w:w="60" w:type="dxa"/>
              <w:start w:w="70" w:type="dxa"/>
              <w:bottom w:w="60" w:type="dxa"/>
              <w:end w:w="70" w:type="dxa"/>
            </w:tcMar>
          </w:tcPr>
          <w:p>
            <w:r>
              <w:rPr>
                <w:b/>
                <w:color w:val="F6F8FB"/>
                <w:sz w:val="15"/>
              </w:rPr>
              <w:t>Observed result</w:t>
            </w:r>
          </w:p>
        </w:tc>
        <w:tc>
          <w:tcPr>
            <w:tcW w:type="dxa" w:w="3600"/>
            <w:shd w:fill="172033"/>
            <w:tcBorders>
              <w:top w:val="single" w:sz="2" w:color="172033"/>
              <w:left w:val="single" w:sz="2" w:color="172033"/>
              <w:bottom w:val="single" w:sz="2" w:color="172033"/>
              <w:right w:val="single" w:sz="2" w:color="172033"/>
            </w:tcBorders>
            <w:tcMar>
              <w:top w:w="60" w:type="dxa"/>
              <w:start w:w="70" w:type="dxa"/>
              <w:bottom w:w="60" w:type="dxa"/>
              <w:end w:w="70" w:type="dxa"/>
            </w:tcMar>
          </w:tcPr>
          <w:p>
            <w:r>
              <w:rPr>
                <w:b/>
                <w:color w:val="F6F8FB"/>
                <w:sz w:val="15"/>
              </w:rPr>
              <w:t>Why it matters</w:t>
            </w:r>
          </w:p>
        </w:tc>
      </w:tr>
      <w:tr>
        <w:tc>
          <w:tcPr>
            <w:tcW w:type="dxa" w:w="3600"/>
            <w:shd w:fill="F7F9FC"/>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color w:val="24282E"/>
                <w:sz w:val="15"/>
              </w:rPr>
              <w:t>Discovery scope</w:t>
            </w:r>
          </w:p>
        </w:tc>
        <w:tc>
          <w:tcPr>
            <w:tcW w:type="dxa" w:w="3600"/>
            <w:shd w:fill="F7F9FC"/>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val="0"/>
                <w:color w:val="24282E"/>
                <w:sz w:val="15"/>
              </w:rPr>
              <w:t>10.11.2.0/24; 10 active hosts</w:t>
            </w:r>
          </w:p>
        </w:tc>
        <w:tc>
          <w:tcPr>
            <w:tcW w:type="dxa" w:w="3600"/>
            <w:shd w:fill="F7F9FC"/>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val="0"/>
                <w:color w:val="24282E"/>
                <w:sz w:val="15"/>
              </w:rPr>
              <w:t>Establishes the reachable attack surface before deeper testing.</w:t>
            </w:r>
          </w:p>
        </w:tc>
      </w:tr>
      <w:tr>
        <w:tc>
          <w:tcPr>
            <w:tcW w:type="dxa" w:w="3600"/>
            <w:shd w:fill="FFFFFF"/>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color w:val="24282E"/>
                <w:sz w:val="15"/>
              </w:rPr>
              <w:t>Selected server</w:t>
            </w:r>
          </w:p>
        </w:tc>
        <w:tc>
          <w:tcPr>
            <w:tcW w:type="dxa" w:w="3600"/>
            <w:shd w:fill="FFFFFF"/>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val="0"/>
                <w:color w:val="24282E"/>
                <w:sz w:val="15"/>
              </w:rPr>
              <w:t>10.11.2.144</w:t>
            </w:r>
          </w:p>
        </w:tc>
        <w:tc>
          <w:tcPr>
            <w:tcW w:type="dxa" w:w="3600"/>
            <w:shd w:fill="FFFFFF"/>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val="0"/>
                <w:color w:val="24282E"/>
                <w:sz w:val="15"/>
              </w:rPr>
              <w:t>Treats a critical DeRexi application server as the prioritized asset.</w:t>
            </w:r>
          </w:p>
        </w:tc>
      </w:tr>
      <w:tr>
        <w:tc>
          <w:tcPr>
            <w:tcW w:type="dxa" w:w="3600"/>
            <w:shd w:fill="F7F9FC"/>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color w:val="24282E"/>
                <w:sz w:val="15"/>
              </w:rPr>
              <w:t>Service exposure</w:t>
            </w:r>
          </w:p>
        </w:tc>
        <w:tc>
          <w:tcPr>
            <w:tcW w:type="dxa" w:w="3600"/>
            <w:shd w:fill="F7F9FC"/>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val="0"/>
                <w:color w:val="24282E"/>
                <w:sz w:val="15"/>
              </w:rPr>
              <w:t>SSH on TCP/22; no confirmed target-specific vulnerability</w:t>
            </w:r>
          </w:p>
        </w:tc>
        <w:tc>
          <w:tcPr>
            <w:tcW w:type="dxa" w:w="3600"/>
            <w:shd w:fill="F7F9FC"/>
            <w:tcBorders>
              <w:top w:val="single" w:sz="5" w:color="D9E0E8"/>
              <w:left w:val="single" w:sz="5" w:color="D9E0E8"/>
              <w:bottom w:val="single" w:sz="5" w:color="D9E0E8"/>
              <w:right w:val="single" w:sz="5" w:color="D9E0E8"/>
            </w:tcBorders>
            <w:tcMar>
              <w:top w:w="55" w:type="dxa"/>
              <w:start w:w="65" w:type="dxa"/>
              <w:bottom w:w="55" w:type="dxa"/>
              <w:end w:w="65" w:type="dxa"/>
            </w:tcMar>
          </w:tcPr>
          <w:p>
            <w:r>
              <w:rPr>
                <w:b w:val="0"/>
                <w:color w:val="24282E"/>
                <w:sz w:val="15"/>
              </w:rPr>
              <w:t>Shows that even a legitimate service can create risk if access, patching, or monitoring is weak.</w:t>
            </w:r>
          </w:p>
        </w:tc>
      </w:tr>
    </w:tbl>
    <w:p>
      <w:pPr>
        <w:spacing w:before="80"/>
        <w:pBdr>
          <w:top w:val="single" w:sz="5" w:space="3" w:color="CDD5DF"/>
        </w:pBdr>
      </w:pPr>
    </w:p>
    <w:p>
      <w:pPr>
        <w:spacing w:after="0"/>
        <w:jc w:val="right"/>
      </w:pPr>
      <w:r>
        <w:rPr>
          <w:color w:val="626A76"/>
          <w:sz w:val="15"/>
        </w:rPr>
        <w:t>Page 1 of 2</w:t>
      </w:r>
    </w:p>
    <w:p>
      <w:r>
        <w:br w:type="page"/>
      </w:r>
    </w:p>
    <w:tbl>
      <w:tblPr>
        <w:tblW w:type="auto" w:w="0"/>
        <w:jc w:val="center"/>
        <w:tblLayout w:type="fixed"/>
        <w:tblLook w:firstColumn="1" w:firstRow="1" w:lastColumn="0" w:lastRow="0" w:noHBand="0" w:noVBand="1" w:val="04A0"/>
      </w:tblPr>
      <w:tblGrid>
        <w:gridCol w:w="5400"/>
        <w:gridCol w:w="5400"/>
      </w:tblGrid>
      <w:tr>
        <w:tc>
          <w:tcPr>
            <w:tcW w:type="dxa" w:w="8856"/>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r>
              <w:rPr>
                <w:b/>
                <w:color w:val="F6F8FB"/>
                <w:sz w:val="17"/>
              </w:rPr>
              <w:t>CYBER THREATS &amp; VULNERABILITIES // ASSIGNMENT #3</w:t>
            </w:r>
          </w:p>
        </w:tc>
        <w:tc>
          <w:tcPr>
            <w:tcW w:type="dxa" w:w="2448"/>
            <w:shd w:fill="111827"/>
            <w:tcBorders>
              <w:top w:val="single" w:sz="2" w:color="111827"/>
              <w:left w:val="single" w:sz="2" w:color="111827"/>
              <w:bottom w:val="single" w:sz="2" w:color="111827"/>
              <w:right w:val="single" w:sz="2" w:color="111827"/>
            </w:tcBorders>
            <w:tcMar>
              <w:top w:w="90" w:type="dxa"/>
              <w:start w:w="115" w:type="dxa"/>
              <w:bottom w:w="90" w:type="dxa"/>
              <w:end w:w="115" w:type="dxa"/>
            </w:tcMar>
          </w:tcPr>
          <w:p>
            <w:pPr>
              <w:jc w:val="right"/>
            </w:pPr>
            <w:r>
              <w:rPr>
                <w:color w:val="BEF7FB"/>
                <w:sz w:val="17"/>
              </w:rPr>
              <w:t>DeRexi: Policy Pilot</w:t>
            </w:r>
          </w:p>
        </w:tc>
      </w:tr>
    </w:tbl>
    <w:p>
      <w:pPr>
        <w:spacing w:after="0"/>
      </w:pPr>
    </w:p>
    <w:p>
      <w:pPr>
        <w:spacing w:after="0"/>
      </w:pPr>
      <w:r>
        <w:rPr>
          <w:b/>
          <w:color w:val="181D26"/>
          <w:sz w:val="41"/>
        </w:rPr>
        <w:t>From Scan Finding to Risk Decision</w:t>
      </w:r>
    </w:p>
    <w:p>
      <w:pPr>
        <w:spacing w:after="140"/>
      </w:pPr>
      <w:r>
        <w:rPr>
          <w:color w:val="626A76"/>
          <w:sz w:val="19"/>
        </w:rPr>
        <w:t>How threat intelligence turns DeRexi vulnerability evidence into practical security action</w:t>
      </w:r>
    </w:p>
    <w:p>
      <w:pPr>
        <w:spacing w:before="80" w:after="40"/>
        <w:pBdr>
          <w:bottom w:val="single" w:sz="8" w:space="2" w:color="34D6E8"/>
        </w:pBdr>
      </w:pPr>
      <w:r>
        <w:rPr>
          <w:b/>
          <w:color w:val="152234"/>
          <w:sz w:val="22"/>
        </w:rPr>
        <w:t>4. Implementation - what DeRexi should put in place</w:t>
      </w:r>
    </w:p>
    <w:tbl>
      <w:tblPr>
        <w:tblW w:type="auto" w:w="0"/>
        <w:jc w:val="center"/>
        <w:tblLayout w:type="fixed"/>
        <w:tblLook w:firstColumn="1" w:firstRow="1" w:lastColumn="0" w:lastRow="0" w:noHBand="0" w:noVBand="1" w:val="04A0"/>
      </w:tblPr>
      <w:tblGrid>
        <w:gridCol w:w="2232"/>
        <w:gridCol w:w="8928"/>
      </w:tblGrid>
      <w:tr>
        <w:tc>
          <w:tcPr>
            <w:tcW w:type="dxa" w:w="5400"/>
            <w:shd w:fill="E7F7FA"/>
            <w:tcBorders>
              <w:top w:val="single" w:sz="5" w:color="CAD4DE"/>
              <w:left w:val="single" w:sz="5" w:color="CAD4DE"/>
              <w:bottom w:val="single" w:sz="5" w:color="CAD4DE"/>
              <w:right w:val="single" w:sz="5" w:color="CAD4DE"/>
            </w:tcBorders>
            <w:tcMar>
              <w:top w:w="60" w:type="dxa"/>
              <w:start w:w="70" w:type="dxa"/>
              <w:bottom w:w="60" w:type="dxa"/>
              <w:end w:w="70" w:type="dxa"/>
            </w:tcMar>
          </w:tcPr>
          <w:p>
            <w:r>
              <w:rPr>
                <w:b/>
                <w:color w:val="152234"/>
                <w:sz w:val="15"/>
              </w:rPr>
              <w:t>1. Scan and inventory</w:t>
            </w:r>
          </w:p>
        </w:tc>
        <w:tc>
          <w:tcPr>
            <w:tcW w:type="dxa" w:w="5400"/>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5"/>
              </w:rPr>
              <w:t>Continue authorized discovery and vulnerability scans to identify reachable systems, exposed services, and version information.</w:t>
            </w:r>
          </w:p>
        </w:tc>
      </w:tr>
      <w:tr>
        <w:tc>
          <w:tcPr>
            <w:tcW w:type="dxa" w:w="5400"/>
            <w:shd w:fill="EEF1F6"/>
            <w:tcBorders>
              <w:top w:val="single" w:sz="5" w:color="CAD4DE"/>
              <w:left w:val="single" w:sz="5" w:color="CAD4DE"/>
              <w:bottom w:val="single" w:sz="5" w:color="CAD4DE"/>
              <w:right w:val="single" w:sz="5" w:color="CAD4DE"/>
            </w:tcBorders>
            <w:tcMar>
              <w:top w:w="60" w:type="dxa"/>
              <w:start w:w="70" w:type="dxa"/>
              <w:bottom w:w="60" w:type="dxa"/>
              <w:end w:w="70" w:type="dxa"/>
            </w:tcMar>
          </w:tcPr>
          <w:p>
            <w:r>
              <w:rPr>
                <w:b/>
                <w:color w:val="152234"/>
                <w:sz w:val="15"/>
              </w:rPr>
              <w:t>2. Enrich findings in OpenCTI</w:t>
            </w:r>
          </w:p>
        </w:tc>
        <w:tc>
          <w:tcPr>
            <w:tcW w:type="dxa" w:w="5400"/>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5"/>
              </w:rPr>
              <w:t>Use the CVE connector to add known-vulnerability intelligence and the MITRE ATT&amp;CK connector to add adversary technique context.</w:t>
            </w:r>
          </w:p>
        </w:tc>
      </w:tr>
      <w:tr>
        <w:tc>
          <w:tcPr>
            <w:tcW w:type="dxa" w:w="5400"/>
            <w:shd w:fill="E7F7FA"/>
            <w:tcBorders>
              <w:top w:val="single" w:sz="5" w:color="CAD4DE"/>
              <w:left w:val="single" w:sz="5" w:color="CAD4DE"/>
              <w:bottom w:val="single" w:sz="5" w:color="CAD4DE"/>
              <w:right w:val="single" w:sz="5" w:color="CAD4DE"/>
            </w:tcBorders>
            <w:tcMar>
              <w:top w:w="60" w:type="dxa"/>
              <w:start w:w="70" w:type="dxa"/>
              <w:bottom w:w="60" w:type="dxa"/>
              <w:end w:w="70" w:type="dxa"/>
            </w:tcMar>
          </w:tcPr>
          <w:p>
            <w:r>
              <w:rPr>
                <w:b/>
                <w:color w:val="152234"/>
                <w:sz w:val="15"/>
              </w:rPr>
              <w:t>3. Prioritize by business impact</w:t>
            </w:r>
          </w:p>
        </w:tc>
        <w:tc>
          <w:tcPr>
            <w:tcW w:type="dxa" w:w="5400"/>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5"/>
              </w:rPr>
              <w:t>Treat findings on authentication, policy data, remote administration, and core application services as higher priority because DeRexi supports financial-sector clients.</w:t>
            </w:r>
          </w:p>
        </w:tc>
      </w:tr>
      <w:tr>
        <w:tc>
          <w:tcPr>
            <w:tcW w:type="dxa" w:w="5400"/>
            <w:shd w:fill="EEF1F6"/>
            <w:tcBorders>
              <w:top w:val="single" w:sz="5" w:color="CAD4DE"/>
              <w:left w:val="single" w:sz="5" w:color="CAD4DE"/>
              <w:bottom w:val="single" w:sz="5" w:color="CAD4DE"/>
              <w:right w:val="single" w:sz="5" w:color="CAD4DE"/>
            </w:tcBorders>
            <w:tcMar>
              <w:top w:w="60" w:type="dxa"/>
              <w:start w:w="70" w:type="dxa"/>
              <w:bottom w:w="60" w:type="dxa"/>
              <w:end w:w="70" w:type="dxa"/>
            </w:tcMar>
          </w:tcPr>
          <w:p>
            <w:r>
              <w:rPr>
                <w:b/>
                <w:color w:val="152234"/>
                <w:sz w:val="15"/>
              </w:rPr>
              <w:t>4. Apply controls</w:t>
            </w:r>
          </w:p>
        </w:tc>
        <w:tc>
          <w:tcPr>
            <w:tcW w:type="dxa" w:w="5400"/>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5"/>
              </w:rPr>
              <w:t>Restrict SSH to authorized administrators and trusted management networks, prefer strong/key-based authentication with additional controls, keep systems patched, and disable unnecessary services.</w:t>
            </w:r>
          </w:p>
        </w:tc>
      </w:tr>
      <w:tr>
        <w:tc>
          <w:tcPr>
            <w:tcW w:type="dxa" w:w="5400"/>
            <w:shd w:fill="E7F7FA"/>
            <w:tcBorders>
              <w:top w:val="single" w:sz="5" w:color="CAD4DE"/>
              <w:left w:val="single" w:sz="5" w:color="CAD4DE"/>
              <w:bottom w:val="single" w:sz="5" w:color="CAD4DE"/>
              <w:right w:val="single" w:sz="5" w:color="CAD4DE"/>
            </w:tcBorders>
            <w:tcMar>
              <w:top w:w="60" w:type="dxa"/>
              <w:start w:w="70" w:type="dxa"/>
              <w:bottom w:w="60" w:type="dxa"/>
              <w:end w:w="70" w:type="dxa"/>
            </w:tcMar>
          </w:tcPr>
          <w:p>
            <w:r>
              <w:rPr>
                <w:b/>
                <w:color w:val="152234"/>
                <w:sz w:val="15"/>
              </w:rPr>
              <w:t>5. Monitor and re-scan</w:t>
            </w:r>
          </w:p>
        </w:tc>
        <w:tc>
          <w:tcPr>
            <w:tcW w:type="dxa" w:w="5400"/>
            <w:shd w:fill="FFFFFF"/>
            <w:tcBorders>
              <w:top w:val="single" w:sz="5" w:color="D9E0E8"/>
              <w:left w:val="single" w:sz="5" w:color="D9E0E8"/>
              <w:bottom w:val="single" w:sz="5" w:color="D9E0E8"/>
              <w:right w:val="single" w:sz="5" w:color="D9E0E8"/>
            </w:tcBorders>
            <w:tcMar>
              <w:top w:w="60" w:type="dxa"/>
              <w:start w:w="70" w:type="dxa"/>
              <w:bottom w:w="60" w:type="dxa"/>
              <w:end w:w="70" w:type="dxa"/>
            </w:tcMar>
          </w:tcPr>
          <w:p>
            <w:r>
              <w:rPr>
                <w:color w:val="24282E"/>
                <w:sz w:val="15"/>
              </w:rPr>
              <w:t>Review authentication and network telemetry for suspicious activity, then repeat scans to verify that remediation reduced exposure.</w:t>
            </w:r>
          </w:p>
        </w:tc>
      </w:tr>
    </w:tbl>
    <w:p>
      <w:pPr>
        <w:spacing w:before="80" w:after="40"/>
        <w:pBdr>
          <w:bottom w:val="single" w:sz="8" w:space="2" w:color="34D6E8"/>
        </w:pBdr>
      </w:pPr>
      <w:r>
        <w:rPr>
          <w:b/>
          <w:color w:val="152234"/>
          <w:sz w:val="22"/>
        </w:rPr>
        <w:t>5. How DeRexi benefits from the risk component</w:t>
      </w:r>
    </w:p>
    <w:p>
      <w:pPr>
        <w:spacing w:after="28"/>
      </w:pPr>
      <w:r>
        <w:rPr>
          <w:b/>
          <w:color w:val="152234"/>
          <w:sz w:val="17"/>
        </w:rPr>
        <w:t xml:space="preserve">Better prioritization: </w:t>
      </w:r>
      <w:r>
        <w:rPr>
          <w:color w:val="24282E"/>
          <w:sz w:val="17"/>
        </w:rPr>
        <w:t>Threat intelligence helps distinguish a low-level exposure from a vulnerability that is actively exploited or tied to known attack behavior.</w:t>
      </w:r>
    </w:p>
    <w:p>
      <w:pPr>
        <w:spacing w:after="28"/>
      </w:pPr>
      <w:r>
        <w:rPr>
          <w:b/>
          <w:color w:val="152234"/>
          <w:sz w:val="17"/>
        </w:rPr>
        <w:t xml:space="preserve">Reduced attack surface: </w:t>
      </w:r>
      <w:r>
        <w:rPr>
          <w:color w:val="24282E"/>
          <w:sz w:val="17"/>
        </w:rPr>
        <w:t>Scan results identify services and systems that can be restricted, hardened, patched, or removed when they are unnecessary.</w:t>
      </w:r>
    </w:p>
    <w:p>
      <w:pPr>
        <w:spacing w:after="28"/>
      </w:pPr>
      <w:r>
        <w:rPr>
          <w:b/>
          <w:color w:val="152234"/>
          <w:sz w:val="17"/>
        </w:rPr>
        <w:t xml:space="preserve">Protection of CIA: </w:t>
      </w:r>
      <w:r>
        <w:rPr>
          <w:color w:val="24282E"/>
          <w:sz w:val="17"/>
        </w:rPr>
        <w:t>Risk decisions can be tied directly to confidentiality of policy/identity data, integrity of policy content and configuration, and availability of employee-facing services.</w:t>
      </w:r>
    </w:p>
    <w:p>
      <w:pPr>
        <w:spacing w:after="28"/>
      </w:pPr>
      <w:r>
        <w:rPr>
          <w:b/>
          <w:color w:val="152234"/>
          <w:sz w:val="17"/>
        </w:rPr>
        <w:t xml:space="preserve">Faster incident decisions: </w:t>
      </w:r>
      <w:r>
        <w:rPr>
          <w:color w:val="24282E"/>
          <w:sz w:val="17"/>
        </w:rPr>
        <w:t>Known IOCs, CVEs, and ATT&amp;CK context give analysts clearer evidence when deciding whether activity should be investigated or escalated.</w:t>
      </w:r>
    </w:p>
    <w:p>
      <w:pPr>
        <w:spacing w:after="28"/>
      </w:pPr>
      <w:r>
        <w:rPr>
          <w:b/>
          <w:color w:val="152234"/>
          <w:sz w:val="17"/>
        </w:rPr>
        <w:t xml:space="preserve">Financial-sector readiness: </w:t>
      </w:r>
      <w:r>
        <w:rPr>
          <w:color w:val="24282E"/>
          <w:sz w:val="17"/>
        </w:rPr>
        <w:t>A repeatable scan -&gt; intelligence -&gt; remediation -&gt; verification process gives DeRexi stronger evidence that security controls are being managed deliberately for a banking/finance environment.</w:t>
      </w:r>
    </w:p>
    <w:tbl>
      <w:tblPr>
        <w:tblW w:type="auto" w:w="0"/>
        <w:tblLook w:firstColumn="1" w:firstRow="1" w:lastColumn="0" w:lastRow="0" w:noHBand="0" w:noVBand="1" w:val="04A0"/>
      </w:tblPr>
      <w:tblGrid>
        <w:gridCol w:w="10800"/>
      </w:tblGrid>
      <w:tr>
        <w:tc>
          <w:tcPr>
            <w:tcW w:type="dxa" w:w="10800"/>
            <w:shd w:fill="FBF5E8"/>
            <w:tcBorders>
              <w:top w:val="single" w:sz="7" w:color="E7C98C"/>
              <w:left w:val="single" w:sz="7" w:color="E7C98C"/>
              <w:bottom w:val="single" w:sz="7" w:color="E7C98C"/>
              <w:right w:val="single" w:sz="7" w:color="E7C98C"/>
            </w:tcBorders>
            <w:tcMar>
              <w:top w:w="95" w:type="dxa"/>
              <w:start w:w="120" w:type="dxa"/>
              <w:bottom w:w="95" w:type="dxa"/>
              <w:end w:w="120" w:type="dxa"/>
            </w:tcMar>
          </w:tcPr>
          <w:p>
            <w:r>
              <w:rPr>
                <w:b/>
                <w:color w:val="11424F"/>
                <w:sz w:val="17"/>
              </w:rPr>
              <w:t>RISK CONNECTION</w:t>
            </w:r>
          </w:p>
          <w:p>
            <w:pPr>
              <w:spacing w:after="0"/>
            </w:pPr>
            <w:r>
              <w:rPr>
                <w:color w:val="24282E"/>
                <w:sz w:val="17"/>
              </w:rPr>
              <w:t>The scan does not automatically equal risk. DeRexi uses the scan to identify exposure, OpenCTI to add threat and vulnerability context, and business impact to decide what must be fixed first. That is the value of the risk component: it turns technical findings into defensible security priorities.</w:t>
            </w:r>
          </w:p>
        </w:tc>
      </w:tr>
    </w:tbl>
    <w:p>
      <w:pPr>
        <w:spacing w:before="80" w:after="40"/>
        <w:pBdr>
          <w:bottom w:val="single" w:sz="8" w:space="2" w:color="34D6E8"/>
        </w:pBdr>
      </w:pPr>
      <w:r>
        <w:rPr>
          <w:b/>
          <w:color w:val="152234"/>
          <w:sz w:val="22"/>
        </w:rPr>
        <w:t>6. Assignment criteria check</w:t>
      </w:r>
    </w:p>
    <w:tbl>
      <w:tblPr>
        <w:tblW w:type="auto" w:w="0"/>
        <w:jc w:val="center"/>
        <w:tblLayout w:type="fixed"/>
        <w:tblLook w:firstColumn="1" w:firstRow="1" w:lastColumn="0" w:lastRow="0" w:noHBand="0" w:noVBand="1" w:val="04A0"/>
      </w:tblPr>
      <w:tblGrid>
        <w:gridCol w:w="5400"/>
        <w:gridCol w:w="5400"/>
      </w:tblGrid>
      <w:tr>
        <w:tc>
          <w:tcPr>
            <w:tcW w:type="dxa" w:w="5400"/>
            <w:shd w:fill="F0F4F8"/>
            <w:tcBorders>
              <w:top w:val="single" w:sz="5" w:color="D9E0E8"/>
              <w:left w:val="single" w:sz="5" w:color="D9E0E8"/>
              <w:bottom w:val="single" w:sz="5" w:color="D9E0E8"/>
              <w:right w:val="single" w:sz="5" w:color="D9E0E8"/>
            </w:tcBorders>
            <w:tcMar>
              <w:top w:w="50" w:type="dxa"/>
              <w:start w:w="65" w:type="dxa"/>
              <w:bottom w:w="50" w:type="dxa"/>
              <w:end w:w="65" w:type="dxa"/>
            </w:tcMar>
          </w:tcPr>
          <w:p>
            <w:r>
              <w:rPr>
                <w:b/>
                <w:color w:val="152234"/>
                <w:sz w:val="15"/>
              </w:rPr>
              <w:t>Official OpenCTI GitHub source used</w:t>
            </w:r>
          </w:p>
        </w:tc>
        <w:tc>
          <w:tcPr>
            <w:tcW w:type="dxa" w:w="5400"/>
            <w:shd w:fill="FFFFFF"/>
            <w:tcBorders>
              <w:top w:val="single" w:sz="5" w:color="D9E0E8"/>
              <w:left w:val="single" w:sz="5" w:color="D9E0E8"/>
              <w:bottom w:val="single" w:sz="5" w:color="D9E0E8"/>
              <w:right w:val="single" w:sz="5" w:color="D9E0E8"/>
            </w:tcBorders>
            <w:tcMar>
              <w:top w:w="50" w:type="dxa"/>
              <w:start w:w="65" w:type="dxa"/>
              <w:bottom w:w="50" w:type="dxa"/>
              <w:end w:w="65" w:type="dxa"/>
            </w:tcMar>
          </w:tcPr>
          <w:p>
            <w:r>
              <w:rPr>
                <w:color w:val="24282E"/>
                <w:sz w:val="15"/>
              </w:rPr>
              <w:t>YES - core platform and connectors repository documented.</w:t>
            </w:r>
          </w:p>
        </w:tc>
      </w:tr>
      <w:tr>
        <w:tc>
          <w:tcPr>
            <w:tcW w:type="dxa" w:w="5400"/>
            <w:shd w:fill="F0F4F8"/>
            <w:tcBorders>
              <w:top w:val="single" w:sz="5" w:color="D9E0E8"/>
              <w:left w:val="single" w:sz="5" w:color="D9E0E8"/>
              <w:bottom w:val="single" w:sz="5" w:color="D9E0E8"/>
              <w:right w:val="single" w:sz="5" w:color="D9E0E8"/>
            </w:tcBorders>
            <w:tcMar>
              <w:top w:w="50" w:type="dxa"/>
              <w:start w:w="65" w:type="dxa"/>
              <w:bottom w:w="50" w:type="dxa"/>
              <w:end w:w="65" w:type="dxa"/>
            </w:tcMar>
          </w:tcPr>
          <w:p>
            <w:r>
              <w:rPr>
                <w:b/>
                <w:color w:val="152234"/>
                <w:sz w:val="15"/>
              </w:rPr>
              <w:t>2 IOCs analyzed</w:t>
            </w:r>
          </w:p>
        </w:tc>
        <w:tc>
          <w:tcPr>
            <w:tcW w:type="dxa" w:w="5400"/>
            <w:shd w:fill="FFFFFF"/>
            <w:tcBorders>
              <w:top w:val="single" w:sz="5" w:color="D9E0E8"/>
              <w:left w:val="single" w:sz="5" w:color="D9E0E8"/>
              <w:bottom w:val="single" w:sz="5" w:color="D9E0E8"/>
              <w:right w:val="single" w:sz="5" w:color="D9E0E8"/>
            </w:tcBorders>
            <w:tcMar>
              <w:top w:w="50" w:type="dxa"/>
              <w:start w:w="65" w:type="dxa"/>
              <w:bottom w:w="50" w:type="dxa"/>
              <w:end w:w="65" w:type="dxa"/>
            </w:tcMar>
          </w:tcPr>
          <w:p>
            <w:r>
              <w:rPr>
                <w:color w:val="24282E"/>
                <w:sz w:val="15"/>
              </w:rPr>
              <w:t>YES - malicious file hash + download infrastructure.</w:t>
            </w:r>
          </w:p>
        </w:tc>
      </w:tr>
      <w:tr>
        <w:tc>
          <w:tcPr>
            <w:tcW w:type="dxa" w:w="5400"/>
            <w:shd w:fill="F0F4F8"/>
            <w:tcBorders>
              <w:top w:val="single" w:sz="5" w:color="D9E0E8"/>
              <w:left w:val="single" w:sz="5" w:color="D9E0E8"/>
              <w:bottom w:val="single" w:sz="5" w:color="D9E0E8"/>
              <w:right w:val="single" w:sz="5" w:color="D9E0E8"/>
            </w:tcBorders>
            <w:tcMar>
              <w:top w:w="50" w:type="dxa"/>
              <w:start w:w="65" w:type="dxa"/>
              <w:bottom w:w="50" w:type="dxa"/>
              <w:end w:w="65" w:type="dxa"/>
            </w:tcMar>
          </w:tcPr>
          <w:p>
            <w:r>
              <w:rPr>
                <w:b/>
                <w:color w:val="152234"/>
                <w:sz w:val="15"/>
              </w:rPr>
              <w:t>2 relevant connectors</w:t>
            </w:r>
          </w:p>
        </w:tc>
        <w:tc>
          <w:tcPr>
            <w:tcW w:type="dxa" w:w="5400"/>
            <w:shd w:fill="FFFFFF"/>
            <w:tcBorders>
              <w:top w:val="single" w:sz="5" w:color="D9E0E8"/>
              <w:left w:val="single" w:sz="5" w:color="D9E0E8"/>
              <w:bottom w:val="single" w:sz="5" w:color="D9E0E8"/>
              <w:right w:val="single" w:sz="5" w:color="D9E0E8"/>
            </w:tcBorders>
            <w:tcMar>
              <w:top w:w="50" w:type="dxa"/>
              <w:start w:w="65" w:type="dxa"/>
              <w:bottom w:w="50" w:type="dxa"/>
              <w:end w:w="65" w:type="dxa"/>
            </w:tcMar>
          </w:tcPr>
          <w:p>
            <w:r>
              <w:rPr>
                <w:color w:val="24282E"/>
                <w:sz w:val="15"/>
              </w:rPr>
              <w:t>YES - CVE + MITRE ATT&amp;CK.</w:t>
            </w:r>
          </w:p>
        </w:tc>
      </w:tr>
      <w:tr>
        <w:tc>
          <w:tcPr>
            <w:tcW w:type="dxa" w:w="5400"/>
            <w:shd w:fill="F0F4F8"/>
            <w:tcBorders>
              <w:top w:val="single" w:sz="5" w:color="D9E0E8"/>
              <w:left w:val="single" w:sz="5" w:color="D9E0E8"/>
              <w:bottom w:val="single" w:sz="5" w:color="D9E0E8"/>
              <w:right w:val="single" w:sz="5" w:color="D9E0E8"/>
            </w:tcBorders>
            <w:tcMar>
              <w:top w:w="50" w:type="dxa"/>
              <w:start w:w="65" w:type="dxa"/>
              <w:bottom w:w="50" w:type="dxa"/>
              <w:end w:w="65" w:type="dxa"/>
            </w:tcMar>
          </w:tcPr>
          <w:p>
            <w:r>
              <w:rPr>
                <w:b/>
                <w:color w:val="152234"/>
                <w:sz w:val="15"/>
              </w:rPr>
              <w:t>Importance of vulnerability scanning</w:t>
            </w:r>
          </w:p>
        </w:tc>
        <w:tc>
          <w:tcPr>
            <w:tcW w:type="dxa" w:w="5400"/>
            <w:shd w:fill="FFFFFF"/>
            <w:tcBorders>
              <w:top w:val="single" w:sz="5" w:color="D9E0E8"/>
              <w:left w:val="single" w:sz="5" w:color="D9E0E8"/>
              <w:bottom w:val="single" w:sz="5" w:color="D9E0E8"/>
              <w:right w:val="single" w:sz="5" w:color="D9E0E8"/>
            </w:tcBorders>
            <w:tcMar>
              <w:top w:w="50" w:type="dxa"/>
              <w:start w:w="65" w:type="dxa"/>
              <w:bottom w:w="50" w:type="dxa"/>
              <w:end w:w="65" w:type="dxa"/>
            </w:tcMar>
          </w:tcPr>
          <w:p>
            <w:r>
              <w:rPr>
                <w:color w:val="24282E"/>
                <w:sz w:val="15"/>
              </w:rPr>
              <w:t>YES - attack-surface discovery and evidence-based risk identification explained.</w:t>
            </w:r>
          </w:p>
        </w:tc>
      </w:tr>
      <w:tr>
        <w:tc>
          <w:tcPr>
            <w:tcW w:type="dxa" w:w="5400"/>
            <w:shd w:fill="F0F4F8"/>
            <w:tcBorders>
              <w:top w:val="single" w:sz="5" w:color="D9E0E8"/>
              <w:left w:val="single" w:sz="5" w:color="D9E0E8"/>
              <w:bottom w:val="single" w:sz="5" w:color="D9E0E8"/>
              <w:right w:val="single" w:sz="5" w:color="D9E0E8"/>
            </w:tcBorders>
            <w:tcMar>
              <w:top w:w="50" w:type="dxa"/>
              <w:start w:w="65" w:type="dxa"/>
              <w:bottom w:w="50" w:type="dxa"/>
              <w:end w:w="65" w:type="dxa"/>
            </w:tcMar>
          </w:tcPr>
          <w:p>
            <w:r>
              <w:rPr>
                <w:b/>
                <w:color w:val="152234"/>
                <w:sz w:val="15"/>
              </w:rPr>
              <w:t>Implementation recommendations</w:t>
            </w:r>
          </w:p>
        </w:tc>
        <w:tc>
          <w:tcPr>
            <w:tcW w:type="dxa" w:w="5400"/>
            <w:shd w:fill="FFFFFF"/>
            <w:tcBorders>
              <w:top w:val="single" w:sz="5" w:color="D9E0E8"/>
              <w:left w:val="single" w:sz="5" w:color="D9E0E8"/>
              <w:bottom w:val="single" w:sz="5" w:color="D9E0E8"/>
              <w:right w:val="single" w:sz="5" w:color="D9E0E8"/>
            </w:tcBorders>
            <w:tcMar>
              <w:top w:w="50" w:type="dxa"/>
              <w:start w:w="65" w:type="dxa"/>
              <w:bottom w:w="50" w:type="dxa"/>
              <w:end w:w="65" w:type="dxa"/>
            </w:tcMar>
          </w:tcPr>
          <w:p>
            <w:r>
              <w:rPr>
                <w:color w:val="24282E"/>
                <w:sz w:val="15"/>
              </w:rPr>
              <w:t>YES - scan, enrich, prioritize, control, monitor, re-scan workflow.</w:t>
            </w:r>
          </w:p>
        </w:tc>
      </w:tr>
      <w:tr>
        <w:tc>
          <w:tcPr>
            <w:tcW w:type="dxa" w:w="5400"/>
            <w:shd w:fill="F0F4F8"/>
            <w:tcBorders>
              <w:top w:val="single" w:sz="5" w:color="D9E0E8"/>
              <w:left w:val="single" w:sz="5" w:color="D9E0E8"/>
              <w:bottom w:val="single" w:sz="5" w:color="D9E0E8"/>
              <w:right w:val="single" w:sz="5" w:color="D9E0E8"/>
            </w:tcBorders>
            <w:tcMar>
              <w:top w:w="50" w:type="dxa"/>
              <w:start w:w="65" w:type="dxa"/>
              <w:bottom w:w="50" w:type="dxa"/>
              <w:end w:w="65" w:type="dxa"/>
            </w:tcMar>
          </w:tcPr>
          <w:p>
            <w:r>
              <w:rPr>
                <w:b/>
                <w:color w:val="152234"/>
                <w:sz w:val="15"/>
              </w:rPr>
              <w:t>Benefits for DeRexi</w:t>
            </w:r>
          </w:p>
        </w:tc>
        <w:tc>
          <w:tcPr>
            <w:tcW w:type="dxa" w:w="5400"/>
            <w:shd w:fill="FFFFFF"/>
            <w:tcBorders>
              <w:top w:val="single" w:sz="5" w:color="D9E0E8"/>
              <w:left w:val="single" w:sz="5" w:color="D9E0E8"/>
              <w:bottom w:val="single" w:sz="5" w:color="D9E0E8"/>
              <w:right w:val="single" w:sz="5" w:color="D9E0E8"/>
            </w:tcBorders>
            <w:tcMar>
              <w:top w:w="50" w:type="dxa"/>
              <w:start w:w="65" w:type="dxa"/>
              <w:bottom w:w="50" w:type="dxa"/>
              <w:end w:w="65" w:type="dxa"/>
            </w:tcMar>
          </w:tcPr>
          <w:p>
            <w:r>
              <w:rPr>
                <w:color w:val="24282E"/>
                <w:sz w:val="15"/>
              </w:rPr>
              <w:t>YES - risk prioritization, CIA protection, attack-surface reduction, faster decisions, financial-sector readiness.</w:t>
            </w:r>
          </w:p>
        </w:tc>
      </w:tr>
    </w:tbl>
    <w:p>
      <w:pPr>
        <w:spacing w:before="80" w:after="0"/>
      </w:pPr>
      <w:r>
        <w:rPr>
          <w:b/>
          <w:color w:val="626A76"/>
          <w:sz w:val="14"/>
        </w:rPr>
        <w:t xml:space="preserve">SOURCE BASIS  </w:t>
      </w:r>
      <w:r>
        <w:rPr>
          <w:color w:val="626A76"/>
          <w:sz w:val="14"/>
        </w:rPr>
        <w:t>Official OpenCTI GitHub platform/connectors documentation; prior DeRexi Nmap vulnerability assessment; prior Malware Analysis Threat Dossier.</w:t>
      </w:r>
    </w:p>
    <w:p>
      <w:pPr>
        <w:spacing w:before="80"/>
        <w:pBdr>
          <w:top w:val="single" w:sz="5" w:space="3" w:color="CDD5DF"/>
        </w:pBdr>
      </w:pPr>
    </w:p>
    <w:p>
      <w:pPr>
        <w:spacing w:after="0"/>
        <w:jc w:val="right"/>
      </w:pPr>
      <w:r>
        <w:rPr>
          <w:color w:val="626A76"/>
          <w:sz w:val="15"/>
        </w:rPr>
        <w:t>Page 2 of 2</w:t>
      </w:r>
    </w:p>
    <w:sectPr w:rsidR="00FC693F" w:rsidRPr="0006063C" w:rsidSect="00034616">
      <w:pgSz w:w="12240" w:h="15840"/>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428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