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400"/>
        <w:gridCol w:w="5400"/>
      </w:tblGrid>
      <w:tr>
        <w:tc>
          <w:tcPr>
            <w:tcW w:type="dxa" w:w="8352"/>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r>
              <w:rPr>
                <w:b/>
                <w:color w:val="F5F7FA"/>
                <w:sz w:val="19"/>
              </w:rPr>
              <w:t>CYBER THREATS &amp; VULNERABILITIES // ASSIGNMENT #4</w:t>
            </w:r>
          </w:p>
        </w:tc>
        <w:tc>
          <w:tcPr>
            <w:tcW w:type="dxa" w:w="2880"/>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pPr>
              <w:jc w:val="right"/>
            </w:pPr>
            <w:r>
              <w:rPr>
                <w:color w:val="BEF7FB"/>
                <w:sz w:val="18"/>
              </w:rPr>
              <w:t>DeRexi: Policy Pilot</w:t>
            </w:r>
          </w:p>
        </w:tc>
      </w:tr>
    </w:tbl>
    <w:p>
      <w:pPr>
        <w:spacing w:after="0"/>
      </w:pPr>
    </w:p>
    <w:p>
      <w:pPr>
        <w:spacing w:after="20"/>
      </w:pPr>
      <w:r>
        <w:rPr>
          <w:b/>
          <w:color w:val="181D26"/>
          <w:sz w:val="42"/>
        </w:rPr>
        <w:t>Develop and Apply Risk Management Strategies</w:t>
      </w:r>
    </w:p>
    <w:p>
      <w:pPr>
        <w:spacing w:after="140"/>
      </w:pPr>
      <w:r>
        <w:rPr>
          <w:color w:val="646C78"/>
          <w:sz w:val="19"/>
        </w:rPr>
        <w:t>Risk assessment, treatment, mitigation, and monitoring built from the existing DeRexi vulnerability scan</w:t>
      </w:r>
    </w:p>
    <w:tbl>
      <w:tblPr>
        <w:tblW w:type="auto" w:w="0"/>
        <w:tblLook w:firstColumn="1" w:firstRow="1" w:lastColumn="0" w:lastRow="0" w:noHBand="0" w:noVBand="1" w:val="04A0"/>
      </w:tblPr>
      <w:tblGrid>
        <w:gridCol w:w="10800"/>
      </w:tblGrid>
      <w:tr>
        <w:tc>
          <w:tcPr>
            <w:tcW w:type="dxa" w:w="10800"/>
            <w:shd w:fill="EAFBFD"/>
            <w:tcBorders>
              <w:top w:val="single" w:sz="7" w:color="8FDDE5"/>
              <w:left w:val="single" w:sz="7" w:color="8FDDE5"/>
              <w:bottom w:val="single" w:sz="7" w:color="8FDDE5"/>
              <w:right w:val="single" w:sz="7" w:color="8FDDE5"/>
            </w:tcBorders>
            <w:tcMar>
              <w:top w:w="95" w:type="dxa"/>
              <w:start w:w="120" w:type="dxa"/>
              <w:bottom w:w="95" w:type="dxa"/>
              <w:end w:w="120" w:type="dxa"/>
            </w:tcMar>
          </w:tcPr>
          <w:p>
            <w:r>
              <w:rPr>
                <w:b/>
                <w:color w:val="11424F"/>
                <w:sz w:val="17"/>
              </w:rPr>
              <w:t>ASSIGNMENT OBJECTIVE</w:t>
            </w:r>
          </w:p>
          <w:p>
            <w:pPr>
              <w:spacing w:after="0"/>
            </w:pPr>
            <w:r>
              <w:rPr>
                <w:color w:val="24282E"/>
                <w:sz w:val="17"/>
              </w:rPr>
              <w:t>Use vulnerability-scan results to identify and assess two critical business risks, recommend risk treatment and mitigation steps, and define one monitoring procedure that shows how DeRexi will track the risks over time.</w:t>
            </w:r>
          </w:p>
        </w:tc>
      </w:tr>
    </w:tbl>
    <w:p>
      <w:pPr>
        <w:spacing w:before="100" w:after="60"/>
        <w:pBdr>
          <w:bottom w:val="single" w:sz="9" w:space="2" w:color="34D6E8"/>
        </w:pBdr>
      </w:pPr>
      <w:r>
        <w:rPr>
          <w:b/>
          <w:color w:val="132236"/>
          <w:sz w:val="23"/>
        </w:rPr>
        <w:t>1. Evidence basis from the vulnerability assessment</w:t>
      </w:r>
    </w:p>
    <w:p>
      <w:pPr>
        <w:spacing w:after="80"/>
      </w:pPr>
      <w:r>
        <w:rPr>
          <w:sz w:val="18"/>
        </w:rPr>
        <w:t>The authorized classroom Nmap assessment identified 10 active hosts in 10.11.2.0/24. The selected DeRexi application server, 10.11.2.144, exposed SSH on TCP/22; the captured vulnerability scripts did not confirm a target-specific vulnerability. The scan finding itself is low/informational, but the business risk can still be high because the server is treated as a critical DeRexi asset.</w:t>
      </w:r>
    </w:p>
    <w:tbl>
      <w:tblPr>
        <w:tblW w:type="auto" w:w="0"/>
        <w:jc w:val="center"/>
        <w:tblLayout w:type="fixed"/>
        <w:tblLook w:firstColumn="1" w:firstRow="1" w:lastColumn="0" w:lastRow="0" w:noHBand="0" w:noVBand="1" w:val="04A0"/>
      </w:tblPr>
      <w:tblGrid>
        <w:gridCol w:w="3600"/>
        <w:gridCol w:w="3600"/>
        <w:gridCol w:w="3600"/>
      </w:tblGrid>
      <w:tr>
        <w:tc>
          <w:tcPr>
            <w:tcW w:type="dxa" w:w="3240"/>
            <w:shd w:fill="172033"/>
            <w:tcBorders>
              <w:top w:val="single" w:sz="2" w:color="172033"/>
              <w:left w:val="single" w:sz="2" w:color="172033"/>
              <w:bottom w:val="single" w:sz="2" w:color="172033"/>
              <w:right w:val="single" w:sz="2" w:color="172033"/>
            </w:tcBorders>
            <w:tcMar>
              <w:top w:w="65" w:type="dxa"/>
              <w:start w:w="80" w:type="dxa"/>
              <w:bottom w:w="65" w:type="dxa"/>
              <w:end w:w="80" w:type="dxa"/>
            </w:tcMar>
          </w:tcPr>
          <w:p>
            <w:r>
              <w:rPr>
                <w:b/>
                <w:color w:val="F5F7FA"/>
                <w:sz w:val="16"/>
              </w:rPr>
              <w:t>Scan evidence</w:t>
            </w:r>
          </w:p>
        </w:tc>
        <w:tc>
          <w:tcPr>
            <w:tcW w:type="dxa" w:w="3312"/>
            <w:shd w:fill="172033"/>
            <w:tcBorders>
              <w:top w:val="single" w:sz="2" w:color="172033"/>
              <w:left w:val="single" w:sz="2" w:color="172033"/>
              <w:bottom w:val="single" w:sz="2" w:color="172033"/>
              <w:right w:val="single" w:sz="2" w:color="172033"/>
            </w:tcBorders>
            <w:tcMar>
              <w:top w:w="65" w:type="dxa"/>
              <w:start w:w="80" w:type="dxa"/>
              <w:bottom w:w="65" w:type="dxa"/>
              <w:end w:w="80" w:type="dxa"/>
            </w:tcMar>
          </w:tcPr>
          <w:p>
            <w:r>
              <w:rPr>
                <w:b/>
                <w:color w:val="F5F7FA"/>
                <w:sz w:val="16"/>
              </w:rPr>
              <w:t>Observed result</w:t>
            </w:r>
          </w:p>
        </w:tc>
        <w:tc>
          <w:tcPr>
            <w:tcW w:type="dxa" w:w="4536"/>
            <w:shd w:fill="172033"/>
            <w:tcBorders>
              <w:top w:val="single" w:sz="2" w:color="172033"/>
              <w:left w:val="single" w:sz="2" w:color="172033"/>
              <w:bottom w:val="single" w:sz="2" w:color="172033"/>
              <w:right w:val="single" w:sz="2" w:color="172033"/>
            </w:tcBorders>
            <w:tcMar>
              <w:top w:w="65" w:type="dxa"/>
              <w:start w:w="80" w:type="dxa"/>
              <w:bottom w:w="65" w:type="dxa"/>
              <w:end w:w="80" w:type="dxa"/>
            </w:tcMar>
          </w:tcPr>
          <w:p>
            <w:r>
              <w:rPr>
                <w:b/>
                <w:color w:val="F5F7FA"/>
                <w:sz w:val="16"/>
              </w:rPr>
              <w:t>Risk meaning</w:t>
            </w:r>
          </w:p>
        </w:tc>
      </w:tr>
      <w:tr>
        <w:tc>
          <w:tcPr>
            <w:tcW w:type="dxa" w:w="3240"/>
            <w:shd w:fill="F7F9FC"/>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Host discovery</w:t>
            </w:r>
          </w:p>
        </w:tc>
        <w:tc>
          <w:tcPr>
            <w:tcW w:type="dxa" w:w="3312"/>
            <w:shd w:fill="F7F9FC"/>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10 active hosts</w:t>
            </w:r>
          </w:p>
        </w:tc>
        <w:tc>
          <w:tcPr>
            <w:tcW w:type="dxa" w:w="4536"/>
            <w:shd w:fill="F7F9FC"/>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Confirms reachable assets that require inventory and control.</w:t>
            </w:r>
          </w:p>
        </w:tc>
      </w:tr>
      <w:tr>
        <w:tc>
          <w:tcPr>
            <w:tcW w:type="dxa" w:w="3240"/>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Service enumeration</w:t>
            </w:r>
          </w:p>
        </w:tc>
        <w:tc>
          <w:tcPr>
            <w:tcW w:type="dxa" w:w="3312"/>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SSH / TCP 22 open on 10.11.2.144</w:t>
            </w:r>
          </w:p>
        </w:tc>
        <w:tc>
          <w:tcPr>
            <w:tcW w:type="dxa" w:w="4536"/>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Creates a remote administrative path that must be tightly controlled.</w:t>
            </w:r>
          </w:p>
        </w:tc>
      </w:tr>
      <w:tr>
        <w:tc>
          <w:tcPr>
            <w:tcW w:type="dxa" w:w="3240"/>
            <w:shd w:fill="F7F9FC"/>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Vulnerability scripts</w:t>
            </w:r>
          </w:p>
        </w:tc>
        <w:tc>
          <w:tcPr>
            <w:tcW w:type="dxa" w:w="3312"/>
            <w:shd w:fill="F7F9FC"/>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No confirmed target-specific vulnerability</w:t>
            </w:r>
          </w:p>
        </w:tc>
        <w:tc>
          <w:tcPr>
            <w:tcW w:type="dxa" w:w="4536"/>
            <w:shd w:fill="F7F9FC"/>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6"/>
              </w:rPr>
              <w:t>Risk treatment should focus on hardening, validation, and monitoring rather than claiming an unproven CVE.</w:t>
            </w:r>
          </w:p>
        </w:tc>
      </w:tr>
    </w:tbl>
    <w:p>
      <w:pPr>
        <w:spacing w:before="100" w:after="60"/>
        <w:pBdr>
          <w:bottom w:val="single" w:sz="9" w:space="2" w:color="34D6E8"/>
        </w:pBdr>
      </w:pPr>
      <w:r>
        <w:rPr>
          <w:b/>
          <w:color w:val="132236"/>
          <w:sz w:val="23"/>
        </w:rPr>
        <w:t>2. Critical risk #1 - Unauthorized privileged access</w:t>
      </w:r>
    </w:p>
    <w:tbl>
      <w:tblPr>
        <w:tblW w:type="auto" w:w="0"/>
        <w:jc w:val="center"/>
        <w:tblLayout w:type="fixed"/>
        <w:tblLook w:firstColumn="1" w:firstRow="1" w:lastColumn="0" w:lastRow="0" w:noHBand="0" w:noVBand="1" w:val="04A0"/>
      </w:tblPr>
      <w:tblGrid>
        <w:gridCol w:w="2160"/>
        <w:gridCol w:w="8856"/>
      </w:tblGrid>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Risk statement</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If SSH is reachable and administrative controls are weak or misconfigured, an attacker could obtain privileged access to the DeRexi application server.</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Inherent rating</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CRITICAL - likelihood: possible; impact: severe because administrator access can affect confidentiality, integrity, and availability.</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Treatment</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Reduce the risk.</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Recommendations</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Restrict SSH to an approved administrative network or VPN/bastion; require key-based authentication and MFA where supported; disable shared/root logins; maintain patch currency.</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Mitigation steps</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Apply firewall ACLs, verify administrator allowlists, review SSH configuration, alert on repeated failures/unusual sources, and disable TCP/22 if administration does not require it.</w:t>
            </w:r>
          </w:p>
        </w:tc>
      </w:tr>
    </w:tbl>
    <w:tbl>
      <w:tblPr>
        <w:tblW w:type="auto" w:w="0"/>
        <w:tblLook w:firstColumn="1" w:firstRow="1" w:lastColumn="0" w:lastRow="0" w:noHBand="0" w:noVBand="1" w:val="04A0"/>
      </w:tblPr>
      <w:tblGrid>
        <w:gridCol w:w="10800"/>
      </w:tblGrid>
      <w:tr>
        <w:tc>
          <w:tcPr>
            <w:tcW w:type="dxa" w:w="10800"/>
            <w:shd w:fill="FBF5E8"/>
            <w:tcBorders>
              <w:top w:val="single" w:sz="7" w:color="E7C98C"/>
              <w:left w:val="single" w:sz="7" w:color="E7C98C"/>
              <w:bottom w:val="single" w:sz="7" w:color="E7C98C"/>
              <w:right w:val="single" w:sz="7" w:color="E7C98C"/>
            </w:tcBorders>
            <w:tcMar>
              <w:top w:w="95" w:type="dxa"/>
              <w:start w:w="120" w:type="dxa"/>
              <w:bottom w:w="95" w:type="dxa"/>
              <w:end w:w="120" w:type="dxa"/>
            </w:tcMar>
          </w:tcPr>
          <w:p>
            <w:r>
              <w:rPr>
                <w:b/>
                <w:color w:val="11424F"/>
                <w:sz w:val="17"/>
              </w:rPr>
              <w:t>IMPORTANT DISTINCTION</w:t>
            </w:r>
          </w:p>
          <w:p>
            <w:pPr>
              <w:spacing w:after="0"/>
            </w:pPr>
            <w:r>
              <w:rPr>
                <w:color w:val="24282E"/>
                <w:sz w:val="17"/>
              </w:rPr>
              <w:t>The Nmap finding was not itself a critical vulnerability. The critical rating here describes the business impact of a successful compromise of a critical administrative path - not a claim that Nmap discovered a critical CVE.</w:t>
            </w:r>
          </w:p>
        </w:tc>
      </w:tr>
    </w:tbl>
    <w:p>
      <w:pPr>
        <w:spacing w:before="80"/>
        <w:pBdr>
          <w:top w:val="single" w:sz="5" w:space="3" w:color="CDD5DF"/>
        </w:pBdr>
      </w:pPr>
    </w:p>
    <w:p>
      <w:pPr>
        <w:spacing w:after="0"/>
        <w:jc w:val="right"/>
      </w:pPr>
      <w:r>
        <w:rPr>
          <w:color w:val="646C78"/>
          <w:sz w:val="15"/>
        </w:rPr>
        <w:t>DeRexi: Policy Pilot  |  Cyber Threats &amp; Vulnerabilities  |  Page 1 of 2</w:t>
      </w:r>
    </w:p>
    <w:p>
      <w:r>
        <w:br w:type="page"/>
      </w:r>
    </w:p>
    <w:tbl>
      <w:tblPr>
        <w:tblW w:type="auto" w:w="0"/>
        <w:jc w:val="center"/>
        <w:tblLayout w:type="fixed"/>
        <w:tblLook w:firstColumn="1" w:firstRow="1" w:lastColumn="0" w:lastRow="0" w:noHBand="0" w:noVBand="1" w:val="04A0"/>
      </w:tblPr>
      <w:tblGrid>
        <w:gridCol w:w="5400"/>
        <w:gridCol w:w="5400"/>
      </w:tblGrid>
      <w:tr>
        <w:tc>
          <w:tcPr>
            <w:tcW w:type="dxa" w:w="8352"/>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r>
              <w:rPr>
                <w:b/>
                <w:color w:val="F5F7FA"/>
                <w:sz w:val="19"/>
              </w:rPr>
              <w:t>CYBER THREATS &amp; VULNERABILITIES // ASSIGNMENT #4</w:t>
            </w:r>
          </w:p>
        </w:tc>
        <w:tc>
          <w:tcPr>
            <w:tcW w:type="dxa" w:w="2880"/>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pPr>
              <w:jc w:val="right"/>
            </w:pPr>
            <w:r>
              <w:rPr>
                <w:color w:val="BEF7FB"/>
                <w:sz w:val="18"/>
              </w:rPr>
              <w:t>DeRexi: Policy Pilot</w:t>
            </w:r>
          </w:p>
        </w:tc>
      </w:tr>
    </w:tbl>
    <w:p>
      <w:pPr>
        <w:spacing w:after="0"/>
      </w:pPr>
    </w:p>
    <w:p>
      <w:pPr>
        <w:spacing w:before="100" w:after="60"/>
        <w:pBdr>
          <w:bottom w:val="single" w:sz="9" w:space="2" w:color="34D6E8"/>
        </w:pBdr>
      </w:pPr>
      <w:r>
        <w:rPr>
          <w:b/>
          <w:color w:val="132236"/>
          <w:sz w:val="23"/>
        </w:rPr>
        <w:t>3. Critical risk #2 - Policy integrity and service disruption</w:t>
      </w:r>
    </w:p>
    <w:tbl>
      <w:tblPr>
        <w:tblW w:type="auto" w:w="0"/>
        <w:jc w:val="center"/>
        <w:tblLayout w:type="fixed"/>
        <w:tblLook w:firstColumn="1" w:firstRow="1" w:lastColumn="0" w:lastRow="0" w:noHBand="0" w:noVBand="1" w:val="04A0"/>
      </w:tblPr>
      <w:tblGrid>
        <w:gridCol w:w="2160"/>
        <w:gridCol w:w="8856"/>
      </w:tblGrid>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Risk statement</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If privileged access to the critical DeRexi server is compromised, an attacker could alter policy content or configuration, disrupt service, or tamper with incident guidance.</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Inherent rating</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CRITICAL - likelihood: possible; impact: severe because employees and banking clients depend on accurate, available policy guidance.</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Treatment</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Reduce and contain the risk.</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Recommendations</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Use RBAC and least privilege, version-controlled policy records, file/configuration integrity monitoring, protected backups, network segmentation, and centralized audit logging.</w:t>
            </w:r>
          </w:p>
        </w:tc>
      </w:tr>
      <w:tr>
        <w:tc>
          <w:tcPr>
            <w:tcW w:type="dxa" w:w="5400"/>
            <w:shd w:fill="E7F7FA"/>
            <w:tcBorders>
              <w:top w:val="single" w:sz="5" w:color="A8DDE4"/>
              <w:left w:val="single" w:sz="5" w:color="A8DDE4"/>
              <w:bottom w:val="single" w:sz="5" w:color="A8DDE4"/>
              <w:right w:val="single" w:sz="5" w:color="A8DDE4"/>
            </w:tcBorders>
            <w:tcMar>
              <w:top w:w="58" w:type="dxa"/>
              <w:start w:w="70" w:type="dxa"/>
              <w:bottom w:w="58" w:type="dxa"/>
              <w:end w:w="70" w:type="dxa"/>
            </w:tcMar>
          </w:tcPr>
          <w:p>
            <w:r>
              <w:rPr>
                <w:b/>
                <w:color w:val="17525D"/>
                <w:sz w:val="15"/>
              </w:rPr>
              <w:t>Mitigation steps</w:t>
            </w:r>
          </w:p>
        </w:tc>
        <w:tc>
          <w:tcPr>
            <w:tcW w:type="dxa" w:w="5400"/>
            <w:shd w:fill="FFFFFF"/>
            <w:tcBorders>
              <w:top w:val="single" w:sz="5" w:color="D9E0E8"/>
              <w:left w:val="single" w:sz="5" w:color="D9E0E8"/>
              <w:bottom w:val="single" w:sz="5" w:color="D9E0E8"/>
              <w:right w:val="single" w:sz="5" w:color="D9E0E8"/>
            </w:tcBorders>
            <w:tcMar>
              <w:top w:w="58" w:type="dxa"/>
              <w:start w:w="70" w:type="dxa"/>
              <w:bottom w:w="58" w:type="dxa"/>
              <w:end w:w="70" w:type="dxa"/>
            </w:tcMar>
          </w:tcPr>
          <w:p>
            <w:r>
              <w:rPr>
                <w:color w:val="24282E"/>
                <w:sz w:val="15"/>
              </w:rPr>
              <w:t>Separate employee and administrator access; log policy/admin changes; preserve trusted versions/hashes; test restoration; alert on unauthorized changes or service outages; maintain tenant/client boundaries.</w:t>
            </w:r>
          </w:p>
        </w:tc>
      </w:tr>
    </w:tbl>
    <w:p>
      <w:pPr>
        <w:spacing w:before="100" w:after="60"/>
        <w:pBdr>
          <w:bottom w:val="single" w:sz="9" w:space="2" w:color="34D6E8"/>
        </w:pBdr>
      </w:pPr>
      <w:r>
        <w:rPr>
          <w:b/>
          <w:color w:val="132236"/>
          <w:sz w:val="23"/>
        </w:rPr>
        <w:t>4. Risk monitoring procedure</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3024"/>
            <w:shd w:fill="172033"/>
            <w:tcBorders>
              <w:top w:val="single" w:sz="2" w:color="172033"/>
              <w:left w:val="single" w:sz="2" w:color="172033"/>
              <w:bottom w:val="single" w:sz="2" w:color="172033"/>
              <w:right w:val="single" w:sz="2" w:color="172033"/>
            </w:tcBorders>
            <w:tcMar>
              <w:top w:w="58" w:type="dxa"/>
              <w:start w:w="62" w:type="dxa"/>
              <w:bottom w:w="58" w:type="dxa"/>
              <w:end w:w="62" w:type="dxa"/>
            </w:tcMar>
          </w:tcPr>
          <w:p>
            <w:r>
              <w:rPr>
                <w:b/>
                <w:color w:val="F5F7FA"/>
                <w:sz w:val="15"/>
              </w:rPr>
              <w:t>Control / metric</w:t>
            </w:r>
          </w:p>
        </w:tc>
        <w:tc>
          <w:tcPr>
            <w:tcW w:type="dxa" w:w="1656"/>
            <w:shd w:fill="172033"/>
            <w:tcBorders>
              <w:top w:val="single" w:sz="2" w:color="172033"/>
              <w:left w:val="single" w:sz="2" w:color="172033"/>
              <w:bottom w:val="single" w:sz="2" w:color="172033"/>
              <w:right w:val="single" w:sz="2" w:color="172033"/>
            </w:tcBorders>
            <w:tcMar>
              <w:top w:w="58" w:type="dxa"/>
              <w:start w:w="62" w:type="dxa"/>
              <w:bottom w:w="58" w:type="dxa"/>
              <w:end w:w="62" w:type="dxa"/>
            </w:tcMar>
          </w:tcPr>
          <w:p>
            <w:r>
              <w:rPr>
                <w:b/>
                <w:color w:val="F5F7FA"/>
                <w:sz w:val="15"/>
              </w:rPr>
              <w:t>Frequency</w:t>
            </w:r>
          </w:p>
        </w:tc>
        <w:tc>
          <w:tcPr>
            <w:tcW w:type="dxa" w:w="3240"/>
            <w:shd w:fill="172033"/>
            <w:tcBorders>
              <w:top w:val="single" w:sz="2" w:color="172033"/>
              <w:left w:val="single" w:sz="2" w:color="172033"/>
              <w:bottom w:val="single" w:sz="2" w:color="172033"/>
              <w:right w:val="single" w:sz="2" w:color="172033"/>
            </w:tcBorders>
            <w:tcMar>
              <w:top w:w="58" w:type="dxa"/>
              <w:start w:w="62" w:type="dxa"/>
              <w:bottom w:w="58" w:type="dxa"/>
              <w:end w:w="62" w:type="dxa"/>
            </w:tcMar>
          </w:tcPr>
          <w:p>
            <w:r>
              <w:rPr>
                <w:b/>
                <w:color w:val="F5F7FA"/>
                <w:sz w:val="15"/>
              </w:rPr>
              <w:t>Trigger</w:t>
            </w:r>
          </w:p>
        </w:tc>
        <w:tc>
          <w:tcPr>
            <w:tcW w:type="dxa" w:w="3240"/>
            <w:shd w:fill="172033"/>
            <w:tcBorders>
              <w:top w:val="single" w:sz="2" w:color="172033"/>
              <w:left w:val="single" w:sz="2" w:color="172033"/>
              <w:bottom w:val="single" w:sz="2" w:color="172033"/>
              <w:right w:val="single" w:sz="2" w:color="172033"/>
            </w:tcBorders>
            <w:tcMar>
              <w:top w:w="58" w:type="dxa"/>
              <w:start w:w="62" w:type="dxa"/>
              <w:bottom w:w="58" w:type="dxa"/>
              <w:end w:w="62" w:type="dxa"/>
            </w:tcMar>
          </w:tcPr>
          <w:p>
            <w:r>
              <w:rPr>
                <w:b/>
                <w:color w:val="F5F7FA"/>
                <w:sz w:val="15"/>
              </w:rPr>
              <w:t>Action / owner</w:t>
            </w:r>
          </w:p>
        </w:tc>
      </w:tr>
      <w:tr>
        <w:tc>
          <w:tcPr>
            <w:tcW w:type="dxa" w:w="3024"/>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SSH authentication logs</w:t>
            </w:r>
          </w:p>
        </w:tc>
        <w:tc>
          <w:tcPr>
            <w:tcW w:type="dxa" w:w="1656"/>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Continuous / daily review</w:t>
            </w:r>
          </w:p>
        </w:tc>
        <w:tc>
          <w:tcPr>
            <w:tcW w:type="dxa" w:w="3240"/>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5+ failures in 10 min, unusual source, off-hours admin access</w:t>
            </w:r>
          </w:p>
        </w:tc>
        <w:tc>
          <w:tcPr>
            <w:tcW w:type="dxa" w:w="3240"/>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Create alert; Lucy validates account/source and disables access if suspicious.</w:t>
            </w:r>
          </w:p>
        </w:tc>
      </w:tr>
      <w:tr>
        <w:tc>
          <w:tcPr>
            <w:tcW w:type="dxa" w:w="3024"/>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Port / service validation</w:t>
            </w:r>
          </w:p>
        </w:tc>
        <w:tc>
          <w:tcPr>
            <w:tcW w:type="dxa" w:w="1656"/>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Weekly</w:t>
            </w:r>
          </w:p>
        </w:tc>
        <w:tc>
          <w:tcPr>
            <w:tcW w:type="dxa" w:w="3240"/>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TCP/22 exposed outside approved admin path</w:t>
            </w:r>
          </w:p>
        </w:tc>
        <w:tc>
          <w:tcPr>
            <w:tcW w:type="dxa" w:w="3240"/>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Restrict firewall/ACL immediately and document change.</w:t>
            </w:r>
          </w:p>
        </w:tc>
      </w:tr>
      <w:tr>
        <w:tc>
          <w:tcPr>
            <w:tcW w:type="dxa" w:w="3024"/>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Vulnerability scan</w:t>
            </w:r>
          </w:p>
        </w:tc>
        <w:tc>
          <w:tcPr>
            <w:tcW w:type="dxa" w:w="1656"/>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Monthly + after major changes</w:t>
            </w:r>
          </w:p>
        </w:tc>
        <w:tc>
          <w:tcPr>
            <w:tcW w:type="dxa" w:w="3240"/>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New high/critical CVE or unexpected service</w:t>
            </w:r>
          </w:p>
        </w:tc>
        <w:tc>
          <w:tcPr>
            <w:tcW w:type="dxa" w:w="3240"/>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Open remediation item; patch, harden, or isolate according to severity.</w:t>
            </w:r>
          </w:p>
        </w:tc>
      </w:tr>
      <w:tr>
        <w:tc>
          <w:tcPr>
            <w:tcW w:type="dxa" w:w="3024"/>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Policy/admin change logs</w:t>
            </w:r>
          </w:p>
        </w:tc>
        <w:tc>
          <w:tcPr>
            <w:tcW w:type="dxa" w:w="1656"/>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Continuous</w:t>
            </w:r>
          </w:p>
        </w:tc>
        <w:tc>
          <w:tcPr>
            <w:tcW w:type="dxa" w:w="3240"/>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Unauthorized or unexpected policy/configuration change</w:t>
            </w:r>
          </w:p>
        </w:tc>
        <w:tc>
          <w:tcPr>
            <w:tcW w:type="dxa" w:w="3240"/>
            <w:shd w:fill="FFFFFF"/>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Preserve evidence, restore trusted version, escalate as integrity incident.</w:t>
            </w:r>
          </w:p>
        </w:tc>
      </w:tr>
      <w:tr>
        <w:tc>
          <w:tcPr>
            <w:tcW w:type="dxa" w:w="3024"/>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Risk register review</w:t>
            </w:r>
          </w:p>
        </w:tc>
        <w:tc>
          <w:tcPr>
            <w:tcW w:type="dxa" w:w="1656"/>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Monthly</w:t>
            </w:r>
          </w:p>
        </w:tc>
        <w:tc>
          <w:tcPr>
            <w:tcW w:type="dxa" w:w="3240"/>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Control overdue, repeated alert, or risk rating increases</w:t>
            </w:r>
          </w:p>
        </w:tc>
        <w:tc>
          <w:tcPr>
            <w:tcW w:type="dxa" w:w="3240"/>
            <w:shd w:fill="F7F9FC"/>
            <w:tcBorders>
              <w:top w:val="single" w:sz="5" w:color="D9E0E8"/>
              <w:left w:val="single" w:sz="5" w:color="D9E0E8"/>
              <w:bottom w:val="single" w:sz="5" w:color="D9E0E8"/>
              <w:right w:val="single" w:sz="5" w:color="D9E0E8"/>
            </w:tcBorders>
            <w:tcMar>
              <w:top w:w="52" w:type="dxa"/>
              <w:start w:w="58" w:type="dxa"/>
              <w:bottom w:w="52" w:type="dxa"/>
              <w:end w:w="58" w:type="dxa"/>
            </w:tcMar>
          </w:tcPr>
          <w:p>
            <w:r>
              <w:rPr>
                <w:color w:val="24282E"/>
                <w:sz w:val="14"/>
              </w:rPr>
              <w:t>Update treatment status, owner, due date, and residual-risk rating.</w:t>
            </w:r>
          </w:p>
        </w:tc>
      </w:tr>
    </w:tbl>
    <w:tbl>
      <w:tblPr>
        <w:tblW w:type="auto" w:w="0"/>
        <w:tblLook w:firstColumn="1" w:firstRow="1" w:lastColumn="0" w:lastRow="0" w:noHBand="0" w:noVBand="1" w:val="04A0"/>
      </w:tblPr>
      <w:tblGrid>
        <w:gridCol w:w="10800"/>
      </w:tblGrid>
      <w:tr>
        <w:tc>
          <w:tcPr>
            <w:tcW w:type="dxa" w:w="10800"/>
            <w:shd w:fill="ECF8F0"/>
            <w:tcBorders>
              <w:top w:val="single" w:sz="7" w:color="A8D7B5"/>
              <w:left w:val="single" w:sz="7" w:color="A8D7B5"/>
              <w:bottom w:val="single" w:sz="7" w:color="A8D7B5"/>
              <w:right w:val="single" w:sz="7" w:color="A8D7B5"/>
            </w:tcBorders>
            <w:tcMar>
              <w:top w:w="95" w:type="dxa"/>
              <w:start w:w="120" w:type="dxa"/>
              <w:bottom w:w="95" w:type="dxa"/>
              <w:end w:w="120" w:type="dxa"/>
            </w:tcMar>
          </w:tcPr>
          <w:p>
            <w:r>
              <w:rPr>
                <w:b/>
                <w:color w:val="11424F"/>
                <w:sz w:val="17"/>
              </w:rPr>
              <w:t>MONITORING WORKFLOW</w:t>
            </w:r>
          </w:p>
          <w:p>
            <w:pPr>
              <w:spacing w:after="0"/>
            </w:pPr>
            <w:r>
              <w:rPr>
                <w:color w:val="24282E"/>
                <w:sz w:val="17"/>
              </w:rPr>
              <w:t>SCAN / LOG -&gt; COMPARE TO THRESHOLD -&gt; CREATE ALERT -&gt; TRIAGE -&gt; APPLY CONTROL -&gt; UPDATE RISK REGISTER -&gt; RE-SCAN. The process tracks whether the risk is increasing, stable, or reduced after treatment.</w:t>
            </w:r>
          </w:p>
        </w:tc>
      </w:tr>
    </w:tbl>
    <w:p>
      <w:pPr>
        <w:spacing w:before="100" w:after="60"/>
        <w:pBdr>
          <w:bottom w:val="single" w:sz="9" w:space="2" w:color="34D6E8"/>
        </w:pBdr>
      </w:pPr>
      <w:r>
        <w:rPr>
          <w:b/>
          <w:color w:val="132236"/>
          <w:sz w:val="23"/>
        </w:rPr>
        <w:t>5. Conclusion</w:t>
      </w:r>
    </w:p>
    <w:p>
      <w:r>
        <w:rPr>
          <w:sz w:val="17"/>
        </w:rPr>
        <w:t>Assignment #4 expands the earlier vulnerability assessment into risk management. The scan did not prove a critical vulnerability; instead, it identified a remote administrative exposure on a critical asset. DeRexi therefore treats unauthorized privileged access and the resulting integrity/availability consequences as critical business-risk scenarios, applies layered controls, and monitors those risks through authentication logs, recurring scans, change monitoring, and a maintained risk register.</w:t>
      </w:r>
    </w:p>
    <w:p>
      <w:pPr>
        <w:spacing w:before="80"/>
      </w:pPr>
      <w:r>
        <w:rPr>
          <w:b/>
          <w:color w:val="646C78"/>
          <w:sz w:val="15"/>
        </w:rPr>
        <w:t xml:space="preserve">SOURCE BASIS  </w:t>
      </w:r>
      <w:r>
        <w:rPr>
          <w:color w:val="646C78"/>
          <w:sz w:val="15"/>
        </w:rPr>
        <w:t>DeRexi Vulnerability Assessment Report; DeRexi Access Control Measures Report; DeRexi Core System Components.</w:t>
      </w:r>
    </w:p>
    <w:p>
      <w:pPr>
        <w:spacing w:before="80"/>
        <w:pBdr>
          <w:top w:val="single" w:sz="5" w:space="3" w:color="CDD5DF"/>
        </w:pBdr>
      </w:pPr>
    </w:p>
    <w:p>
      <w:pPr>
        <w:spacing w:after="0"/>
        <w:jc w:val="right"/>
      </w:pPr>
      <w:r>
        <w:rPr>
          <w:color w:val="646C78"/>
          <w:sz w:val="15"/>
        </w:rPr>
        <w:t>DeRexi: Policy Pilot  |  Cyber Threats &amp; Vulnerabilities  |  Page 2 of 2</w:t>
      </w:r>
    </w:p>
    <w:sectPr w:rsidR="00FC693F" w:rsidRPr="0006063C" w:rsidSect="00034616">
      <w:pgSz w:w="12240" w:h="15840"/>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pPr>
    <w:rPr>
      <w:rFonts w:ascii="Arial" w:hAnsi="Arial"/>
      <w:color w:val="2428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