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328"/>
        <w:gridCol w:w="5328"/>
      </w:tblGrid>
      <w:tr>
        <w:tc>
          <w:tcPr>
            <w:tcW w:type="dxa" w:w="8496"/>
            <w:shd w:fill="F4C7E2"/>
            <w:tcBorders>
              <w:top w:val="single" w:sz="8" w:color="E898C4"/>
              <w:left w:val="single" w:sz="8" w:color="E898C4"/>
              <w:bottom w:val="single" w:sz="8" w:color="E898C4"/>
              <w:right w:val="single" w:sz="8" w:color="E898C4"/>
              <w:insideH w:val="single" w:sz="8" w:color="E898C4"/>
              <w:insideV w:val="single" w:sz="8" w:color="E898C4"/>
            </w:tcBorders>
            <w:tcMar>
              <w:top w:w="105" w:type="dxa"/>
              <w:start w:w="140" w:type="dxa"/>
              <w:bottom w:w="105" w:type="dxa"/>
              <w:end w:w="140" w:type="dxa"/>
            </w:tcMar>
          </w:tcPr>
          <w:p>
            <w:pPr>
              <w:jc w:val="left"/>
            </w:pPr>
            <w:r>
              <w:rPr>
                <w:b/>
                <w:color w:val="432D59"/>
                <w:sz w:val="21"/>
              </w:rPr>
              <w:t>NETWORK SECURITY ASSIGNMENT #6</w:t>
            </w:r>
          </w:p>
        </w:tc>
        <w:tc>
          <w:tcPr>
            <w:tcW w:type="dxa" w:w="2808"/>
            <w:shd w:fill="F4C7E2"/>
            <w:tcBorders>
              <w:top w:val="single" w:sz="8" w:color="E898C4"/>
              <w:left w:val="single" w:sz="8" w:color="E898C4"/>
              <w:bottom w:val="single" w:sz="8" w:color="E898C4"/>
              <w:right w:val="single" w:sz="8" w:color="E898C4"/>
              <w:insideH w:val="single" w:sz="8" w:color="E898C4"/>
              <w:insideV w:val="single" w:sz="8" w:color="E898C4"/>
            </w:tcBorders>
            <w:tcMar>
              <w:top w:w="105" w:type="dxa"/>
              <w:start w:w="140" w:type="dxa"/>
              <w:bottom w:w="105" w:type="dxa"/>
              <w:end w:w="140" w:type="dxa"/>
            </w:tcMar>
          </w:tcPr>
          <w:p>
            <w:pPr>
              <w:jc w:val="right"/>
            </w:pPr>
            <w:r>
              <w:rPr>
                <w:color w:val="665C6D"/>
                <w:sz w:val="19"/>
              </w:rPr>
              <w:t>DeRexi: Policy Pilot</w:t>
            </w:r>
          </w:p>
        </w:tc>
      </w:tr>
    </w:tbl>
    <w:p>
      <w:pPr>
        <w:spacing w:after="20"/>
      </w:pPr>
    </w:p>
    <w:p>
      <w:pPr>
        <w:spacing w:after="0"/>
      </w:pPr>
      <w:r>
        <w:rPr>
          <w:b/>
          <w:color w:val="1F1B21"/>
          <w:sz w:val="44"/>
        </w:rPr>
        <w:t>Utilize Network Security Tools</w:t>
      </w:r>
    </w:p>
    <w:p>
      <w:pPr>
        <w:spacing w:before="0" w:after="200"/>
      </w:pPr>
      <w:r>
        <w:rPr>
          <w:color w:val="665C6D"/>
          <w:sz w:val="21"/>
        </w:rPr>
        <w:t>Traffic analysis, vulnerability scanning, and penetration-testing evidence for the DeRexi environment</w:t>
      </w:r>
    </w:p>
    <w:tbl>
      <w:tblPr>
        <w:tblW w:type="auto" w:w="0"/>
        <w:tblLook w:firstColumn="1" w:firstRow="1" w:lastColumn="0" w:lastRow="0" w:noHBand="0" w:noVBand="1" w:val="04A0"/>
      </w:tblPr>
      <w:tblGrid>
        <w:gridCol w:w="10656"/>
      </w:tblGrid>
      <w:tr>
        <w:tc>
          <w:tcPr>
            <w:tcW w:type="dxa" w:w="10656"/>
            <w:shd w:fill="EDE8FF"/>
            <w:tcBorders>
              <w:top w:val="single" w:sz="8" w:color="C9BCFF"/>
              <w:left w:val="single" w:sz="8" w:color="C9BCFF"/>
              <w:bottom w:val="single" w:sz="8" w:color="C9BCFF"/>
              <w:right w:val="single" w:sz="8" w:color="C9BCFF"/>
              <w:insideH w:val="single" w:sz="8" w:color="C9BCFF"/>
              <w:insideV w:val="single" w:sz="8" w:color="C9BCFF"/>
            </w:tcBorders>
            <w:tcMar>
              <w:top w:w="125" w:type="dxa"/>
              <w:start w:w="150" w:type="dxa"/>
              <w:bottom w:w="125" w:type="dxa"/>
              <w:end w:w="150" w:type="dxa"/>
            </w:tcMar>
          </w:tcPr>
          <w:p>
            <w:pPr>
              <w:spacing w:after="80"/>
            </w:pPr>
            <w:r>
              <w:rPr>
                <w:b/>
                <w:color w:val="432D59"/>
                <w:sz w:val="21"/>
              </w:rPr>
              <w:t>ASSIGNMENT OBJECTIVE</w:t>
            </w:r>
          </w:p>
          <w:p>
            <w:pPr>
              <w:spacing w:after="0"/>
            </w:pPr>
            <w:r>
              <w:rPr>
                <w:color w:val="261F2A"/>
                <w:sz w:val="19"/>
              </w:rPr>
              <w:t>Document network security tool usage, including at least one Wireshark capture with analysis, one network vulnerability-scanner report, and one network penetration-testing tool output.</w:t>
            </w:r>
          </w:p>
        </w:tc>
      </w:tr>
    </w:tbl>
    <w:p>
      <w:pPr>
        <w:spacing w:after="20"/>
      </w:pPr>
    </w:p>
    <w:p>
      <w:pPr>
        <w:spacing w:before="120" w:after="60"/>
        <w:pBdr>
          <w:bottom w:val="single" w:sz="8" w:space="2" w:color="C89B3C"/>
        </w:pBdr>
      </w:pPr>
      <w:r>
        <w:rPr>
          <w:b/>
          <w:color w:val="432D59"/>
          <w:sz w:val="25"/>
        </w:rPr>
        <w:t>Rubric mapping</w:t>
      </w:r>
    </w:p>
    <w:tbl>
      <w:tblPr>
        <w:tblW w:type="auto" w:w="0"/>
        <w:jc w:val="center"/>
        <w:tblLayout w:type="fixed"/>
        <w:tblLook w:firstColumn="1" w:firstRow="1" w:lastColumn="0" w:lastRow="0" w:noHBand="0" w:noVBand="1" w:val="04A0"/>
      </w:tblPr>
      <w:tblGrid>
        <w:gridCol w:w="3552"/>
        <w:gridCol w:w="3552"/>
        <w:gridCol w:w="3552"/>
      </w:tblGrid>
      <w:tr>
        <w:tc>
          <w:tcPr>
            <w:tcW w:type="dxa" w:w="3384"/>
            <w:shd w:fill="E8DFF7"/>
            <w:tcBorders>
              <w:top w:val="single" w:sz="6" w:color="D8D2DD"/>
              <w:left w:val="single" w:sz="6" w:color="D8D2DD"/>
              <w:bottom w:val="single" w:sz="6" w:color="D8D2DD"/>
              <w:right w:val="single" w:sz="6" w:color="D8D2DD"/>
              <w:insideH w:val="single" w:sz="6" w:color="D8D2DD"/>
              <w:insideV w:val="single" w:sz="6" w:color="D8D2DD"/>
            </w:tcBorders>
          </w:tcPr>
          <w:p>
            <w:r>
              <w:rPr>
                <w:b/>
                <w:color w:val="432D59"/>
                <w:sz w:val="17"/>
              </w:rPr>
              <w:t>Required evidence</w:t>
            </w:r>
          </w:p>
        </w:tc>
        <w:tc>
          <w:tcPr>
            <w:tcW w:type="dxa" w:w="6552"/>
            <w:shd w:fill="E8DFF7"/>
            <w:tcBorders>
              <w:top w:val="single" w:sz="6" w:color="D8D2DD"/>
              <w:left w:val="single" w:sz="6" w:color="D8D2DD"/>
              <w:bottom w:val="single" w:sz="6" w:color="D8D2DD"/>
              <w:right w:val="single" w:sz="6" w:color="D8D2DD"/>
              <w:insideH w:val="single" w:sz="6" w:color="D8D2DD"/>
              <w:insideV w:val="single" w:sz="6" w:color="D8D2DD"/>
            </w:tcBorders>
          </w:tcPr>
          <w:p>
            <w:r>
              <w:rPr>
                <w:b/>
                <w:color w:val="432D59"/>
                <w:sz w:val="17"/>
              </w:rPr>
              <w:t>DeRexi tool / evidence</w:t>
            </w:r>
          </w:p>
        </w:tc>
        <w:tc>
          <w:tcPr>
            <w:tcW w:type="dxa" w:w="1512"/>
            <w:shd w:fill="E8DFF7"/>
            <w:tcBorders>
              <w:top w:val="single" w:sz="6" w:color="D8D2DD"/>
              <w:left w:val="single" w:sz="6" w:color="D8D2DD"/>
              <w:bottom w:val="single" w:sz="6" w:color="D8D2DD"/>
              <w:right w:val="single" w:sz="6" w:color="D8D2DD"/>
              <w:insideH w:val="single" w:sz="6" w:color="D8D2DD"/>
              <w:insideV w:val="single" w:sz="6" w:color="D8D2DD"/>
            </w:tcBorders>
          </w:tcPr>
          <w:p>
            <w:r>
              <w:rPr>
                <w:b/>
                <w:color w:val="432D59"/>
                <w:sz w:val="17"/>
              </w:rPr>
              <w:t>Status</w:t>
            </w:r>
          </w:p>
        </w:tc>
      </w:tr>
      <w:tr>
        <w:tc>
          <w:tcPr>
            <w:tcW w:type="dxa" w:w="3384"/>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Wireshark capture + analysis</w:t>
            </w:r>
          </w:p>
        </w:tc>
        <w:tc>
          <w:tcPr>
            <w:tcW w:type="dxa" w:w="6552"/>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Wireshark packet capture from an authorized lab or DeRexi test path</w:t>
            </w:r>
          </w:p>
        </w:tc>
        <w:tc>
          <w:tcPr>
            <w:tcW w:type="dxa" w:w="1512"/>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Capture still required</w:t>
            </w:r>
          </w:p>
        </w:tc>
      </w:tr>
      <w:tr>
        <w:tc>
          <w:tcPr>
            <w:tcW w:type="dxa" w:w="3384"/>
            <w:shd w:fill="F6F5FA"/>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Network vulnerability scanner report</w:t>
            </w:r>
          </w:p>
        </w:tc>
        <w:tc>
          <w:tcPr>
            <w:tcW w:type="dxa" w:w="6552"/>
            <w:shd w:fill="F6F5FA"/>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Nmap 7.94 vulnerability assessment of fictional DeRexi application server 10.11.2.144</w:t>
            </w:r>
          </w:p>
        </w:tc>
        <w:tc>
          <w:tcPr>
            <w:tcW w:type="dxa" w:w="1512"/>
            <w:shd w:fill="F6F5FA"/>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Existing evidence</w:t>
            </w:r>
          </w:p>
        </w:tc>
      </w:tr>
      <w:tr>
        <w:tc>
          <w:tcPr>
            <w:tcW w:type="dxa" w:w="3384"/>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Network penetration-testing tool output</w:t>
            </w:r>
          </w:p>
        </w:tc>
        <w:tc>
          <w:tcPr>
            <w:tcW w:type="dxa" w:w="6552"/>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Social-Engineer Toolkit (SET) controlled credential-harvester lab in Kali Linux</w:t>
            </w:r>
          </w:p>
        </w:tc>
        <w:tc>
          <w:tcPr>
            <w:tcW w:type="dxa" w:w="1512"/>
            <w:shd w:fill="FCF8FB"/>
            <w:tcBorders>
              <w:top w:val="single" w:sz="6" w:color="D8D2DD"/>
              <w:left w:val="single" w:sz="6" w:color="D8D2DD"/>
              <w:bottom w:val="single" w:sz="6" w:color="D8D2DD"/>
              <w:right w:val="single" w:sz="6" w:color="D8D2DD"/>
              <w:insideH w:val="single" w:sz="6" w:color="D8D2DD"/>
              <w:insideV w:val="single" w:sz="6" w:color="D8D2DD"/>
            </w:tcBorders>
            <w:tcMar>
              <w:top w:w="70" w:type="dxa"/>
              <w:start w:w="80" w:type="dxa"/>
              <w:bottom w:w="70" w:type="dxa"/>
              <w:end w:w="80" w:type="dxa"/>
            </w:tcMar>
          </w:tcPr>
          <w:p>
            <w:r>
              <w:rPr>
                <w:color w:val="261F2A"/>
                <w:sz w:val="16"/>
              </w:rPr>
              <w:t>Existing evidence</w:t>
            </w:r>
          </w:p>
        </w:tc>
      </w:tr>
    </w:tbl>
    <w:p>
      <w:pPr>
        <w:spacing w:before="120" w:after="60"/>
        <w:pBdr>
          <w:bottom w:val="single" w:sz="8" w:space="2" w:color="C89B3C"/>
        </w:pBdr>
      </w:pPr>
      <w:r>
        <w:rPr>
          <w:b/>
          <w:color w:val="432D59"/>
          <w:sz w:val="25"/>
        </w:rPr>
        <w:t>DeRexi security-testing scope</w:t>
      </w:r>
    </w:p>
    <w:p>
      <w:pPr>
        <w:spacing w:after="80"/>
      </w:pPr>
      <w:r>
        <w:rPr>
          <w:sz w:val="18"/>
        </w:rPr>
        <w:t>For this assignment, classroom-lab results are mapped into the fictional DeRexi banking/financial-services environment. The purpose is to show how an analyst would observe traffic, identify exposed services, assess weaknesses, and validate attack paths before deployment.</w:t>
      </w:r>
    </w:p>
    <w:p>
      <w:pPr>
        <w:spacing w:before="120" w:after="60"/>
        <w:pBdr>
          <w:bottom w:val="single" w:sz="8" w:space="2" w:color="C89B3C"/>
        </w:pBdr>
      </w:pPr>
      <w:r>
        <w:rPr>
          <w:b/>
          <w:color w:val="432D59"/>
          <w:sz w:val="25"/>
        </w:rPr>
        <w:t>1. Network vulnerability scanner - Nmap</w:t>
      </w:r>
    </w:p>
    <w:p>
      <w:pPr>
        <w:pStyle w:val="ListBullet"/>
        <w:spacing w:after="40"/>
        <w:ind w:left="259" w:hanging="173"/>
      </w:pPr>
      <w:r>
        <w:rPr>
          <w:color w:val="261F2A"/>
          <w:sz w:val="19"/>
        </w:rPr>
        <w:t>Assessment platform: Kali Linux 2023 using Nmap 7.94.</w:t>
      </w:r>
    </w:p>
    <w:p>
      <w:pPr>
        <w:pStyle w:val="ListBullet"/>
        <w:spacing w:after="40"/>
        <w:ind w:left="259" w:hanging="173"/>
      </w:pPr>
      <w:r>
        <w:rPr>
          <w:color w:val="261F2A"/>
          <w:sz w:val="19"/>
        </w:rPr>
        <w:t>Discovery scope: 10.11.2.0/24. The host-discovery scan identified 10 active hosts.</w:t>
      </w:r>
    </w:p>
    <w:p>
      <w:pPr>
        <w:pStyle w:val="ListBullet"/>
        <w:spacing w:after="40"/>
        <w:ind w:left="259" w:hanging="173"/>
      </w:pPr>
      <w:r>
        <w:rPr>
          <w:color w:val="261F2A"/>
          <w:sz w:val="19"/>
        </w:rPr>
        <w:t>Selected asset: 10.11.2.144, treated in the DeRexi scenario as the internal application server.</w:t>
      </w:r>
    </w:p>
    <w:p>
      <w:pPr>
        <w:pStyle w:val="ListBullet"/>
        <w:spacing w:after="40"/>
        <w:ind w:left="259" w:hanging="173"/>
      </w:pPr>
      <w:r>
        <w:rPr>
          <w:color w:val="261F2A"/>
          <w:sz w:val="19"/>
        </w:rPr>
        <w:t>Full TCP service scan: nmap -sV -sC -p1-65535 10.11.2.144.</w:t>
      </w:r>
    </w:p>
    <w:p>
      <w:pPr>
        <w:pStyle w:val="ListBullet"/>
        <w:spacing w:after="40"/>
        <w:ind w:left="259" w:hanging="173"/>
      </w:pPr>
      <w:r>
        <w:rPr>
          <w:color w:val="261F2A"/>
          <w:sz w:val="19"/>
        </w:rPr>
        <w:t>Observed exposure: TCP/22 open for SSH; 65,534 TCP ports reported closed.</w:t>
      </w:r>
    </w:p>
    <w:p>
      <w:pPr>
        <w:pStyle w:val="ListBullet"/>
        <w:spacing w:after="40"/>
        <w:ind w:left="259" w:hanging="173"/>
      </w:pPr>
      <w:r>
        <w:rPr>
          <w:color w:val="261F2A"/>
          <w:sz w:val="19"/>
        </w:rPr>
        <w:t>Vulnerability-oriented scan: nmap -sC --script=vuln 10.11.2.144.</w:t>
      </w:r>
    </w:p>
    <w:p>
      <w:pPr>
        <w:pStyle w:val="ListBullet"/>
        <w:spacing w:after="40"/>
        <w:ind w:left="259" w:hanging="173"/>
      </w:pPr>
      <w:r>
        <w:rPr>
          <w:color w:val="261F2A"/>
          <w:sz w:val="19"/>
        </w:rPr>
        <w:t>Result: no confirmed target-specific vulnerability was established in the captured output.</w:t>
      </w:r>
    </w:p>
    <w:tbl>
      <w:tblPr>
        <w:tblW w:type="auto" w:w="0"/>
        <w:tblLook w:firstColumn="1" w:firstRow="1" w:lastColumn="0" w:lastRow="0" w:noHBand="0" w:noVBand="1" w:val="04A0"/>
      </w:tblPr>
      <w:tblGrid>
        <w:gridCol w:w="10656"/>
      </w:tblGrid>
      <w:tr>
        <w:tc>
          <w:tcPr>
            <w:tcW w:type="dxa" w:w="10656"/>
            <w:shd w:fill="E9F6EC"/>
            <w:tcBorders>
              <w:top w:val="single" w:sz="7" w:color="ADD9B5"/>
              <w:left w:val="single" w:sz="7" w:color="ADD9B5"/>
              <w:bottom w:val="single" w:sz="7" w:color="ADD9B5"/>
              <w:right w:val="single" w:sz="7" w:color="ADD9B5"/>
              <w:insideH w:val="single" w:sz="7" w:color="ADD9B5"/>
              <w:insideV w:val="single" w:sz="7" w:color="ADD9B5"/>
            </w:tcBorders>
            <w:tcMar>
              <w:top w:w="95" w:type="dxa"/>
              <w:start w:w="125" w:type="dxa"/>
              <w:bottom w:w="95" w:type="dxa"/>
              <w:end w:w="125" w:type="dxa"/>
            </w:tcMar>
          </w:tcPr>
          <w:p>
            <w:r>
              <w:rPr>
                <w:b/>
                <w:color w:val="432D59"/>
                <w:sz w:val="18"/>
              </w:rPr>
              <w:t>DEREXI INTERPRETATION</w:t>
            </w:r>
          </w:p>
          <w:p>
            <w:pPr>
              <w:spacing w:after="0"/>
            </w:pPr>
            <w:r>
              <w:rPr>
                <w:color w:val="261F2A"/>
                <w:sz w:val="17"/>
              </w:rPr>
              <w:t>SSH is a legitimate encrypted administration service, but an exposed remote-management port increases attack surface. For DeRexi, administrative access should be restricted to authorized administrators and trusted management networks, with strong authentication, current patching, and monitoring of authentication activity.</w:t>
            </w:r>
          </w:p>
        </w:tc>
      </w:tr>
    </w:tbl>
    <w:p>
      <w:pPr>
        <w:spacing w:before="160"/>
        <w:pBdr>
          <w:top w:val="single" w:sz="6" w:space="4" w:color="D6CFD9"/>
        </w:pBdr>
      </w:pPr>
    </w:p>
    <w:tbl>
      <w:tblPr>
        <w:tblW w:type="auto" w:w="0"/>
        <w:tblLayout w:type="fixed"/>
        <w:tblLook w:firstColumn="1" w:firstRow="1" w:lastColumn="0" w:lastRow="0" w:noHBand="0" w:noVBand="1" w:val="04A0"/>
      </w:tblPr>
      <w:tblGrid>
        <w:gridCol w:w="5328"/>
        <w:gridCol w:w="5328"/>
      </w:tblGrid>
      <w:tr>
        <w:tc>
          <w:tcPr>
            <w:tcW w:type="dxa" w:w="9360"/>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r>
              <w:rPr>
                <w:color w:val="665C6D"/>
                <w:sz w:val="16"/>
              </w:rPr>
              <w:t>Utilize Network Security Tools - DeRexi working evidence report</w:t>
            </w:r>
          </w:p>
        </w:tc>
        <w:tc>
          <w:tcPr>
            <w:tcW w:type="dxa" w:w="1728"/>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jc w:val="right"/>
            </w:pPr>
            <w:r>
              <w:rPr>
                <w:color w:val="665C6D"/>
                <w:sz w:val="16"/>
              </w:rPr>
              <w:t>Page 1 of 2</w:t>
            </w:r>
          </w:p>
        </w:tc>
      </w:tr>
    </w:tbl>
    <w:p>
      <w:r>
        <w:br w:type="page"/>
      </w:r>
    </w:p>
    <w:tbl>
      <w:tblPr>
        <w:tblW w:type="auto" w:w="0"/>
        <w:jc w:val="center"/>
        <w:tblLayout w:type="fixed"/>
        <w:tblLook w:firstColumn="1" w:firstRow="1" w:lastColumn="0" w:lastRow="0" w:noHBand="0" w:noVBand="1" w:val="04A0"/>
      </w:tblPr>
      <w:tblGrid>
        <w:gridCol w:w="5328"/>
        <w:gridCol w:w="5328"/>
      </w:tblGrid>
      <w:tr>
        <w:tc>
          <w:tcPr>
            <w:tcW w:type="dxa" w:w="8496"/>
            <w:shd w:fill="F4C7E2"/>
            <w:tcBorders>
              <w:top w:val="single" w:sz="8" w:color="E898C4"/>
              <w:left w:val="single" w:sz="8" w:color="E898C4"/>
              <w:bottom w:val="single" w:sz="8" w:color="E898C4"/>
              <w:right w:val="single" w:sz="8" w:color="E898C4"/>
              <w:insideH w:val="single" w:sz="8" w:color="E898C4"/>
              <w:insideV w:val="single" w:sz="8" w:color="E898C4"/>
            </w:tcBorders>
            <w:tcMar>
              <w:top w:w="105" w:type="dxa"/>
              <w:start w:w="140" w:type="dxa"/>
              <w:bottom w:w="105" w:type="dxa"/>
              <w:end w:w="140" w:type="dxa"/>
            </w:tcMar>
          </w:tcPr>
          <w:p>
            <w:pPr>
              <w:jc w:val="left"/>
            </w:pPr>
            <w:r>
              <w:rPr>
                <w:b/>
                <w:color w:val="432D59"/>
                <w:sz w:val="21"/>
              </w:rPr>
              <w:t>NETWORK SECURITY ASSIGNMENT #6</w:t>
            </w:r>
          </w:p>
        </w:tc>
        <w:tc>
          <w:tcPr>
            <w:tcW w:type="dxa" w:w="2808"/>
            <w:shd w:fill="F4C7E2"/>
            <w:tcBorders>
              <w:top w:val="single" w:sz="8" w:color="E898C4"/>
              <w:left w:val="single" w:sz="8" w:color="E898C4"/>
              <w:bottom w:val="single" w:sz="8" w:color="E898C4"/>
              <w:right w:val="single" w:sz="8" w:color="E898C4"/>
              <w:insideH w:val="single" w:sz="8" w:color="E898C4"/>
              <w:insideV w:val="single" w:sz="8" w:color="E898C4"/>
            </w:tcBorders>
            <w:tcMar>
              <w:top w:w="105" w:type="dxa"/>
              <w:start w:w="140" w:type="dxa"/>
              <w:bottom w:w="105" w:type="dxa"/>
              <w:end w:w="140" w:type="dxa"/>
            </w:tcMar>
          </w:tcPr>
          <w:p>
            <w:pPr>
              <w:jc w:val="right"/>
            </w:pPr>
            <w:r>
              <w:rPr>
                <w:color w:val="665C6D"/>
                <w:sz w:val="19"/>
              </w:rPr>
              <w:t>DeRexi: Policy Pilot</w:t>
            </w:r>
          </w:p>
        </w:tc>
      </w:tr>
    </w:tbl>
    <w:p>
      <w:pPr>
        <w:spacing w:after="20"/>
      </w:pPr>
    </w:p>
    <w:p>
      <w:pPr>
        <w:spacing w:before="120" w:after="60"/>
        <w:pBdr>
          <w:bottom w:val="single" w:sz="8" w:space="2" w:color="C89B3C"/>
        </w:pBdr>
      </w:pPr>
      <w:r>
        <w:rPr>
          <w:b/>
          <w:color w:val="432D59"/>
          <w:sz w:val="25"/>
        </w:rPr>
        <w:t>2. Penetration-testing tool output - SET</w:t>
      </w:r>
    </w:p>
    <w:p>
      <w:pPr>
        <w:spacing w:after="60"/>
      </w:pPr>
      <w:r>
        <w:rPr>
          <w:sz w:val="18"/>
        </w:rPr>
        <w:t>The Social-Engineer Toolkit (SET) was used in an authorized Kali Linux classroom exercise to demonstrate a controlled credential-harvesting workflow with fake test data.</w:t>
      </w:r>
    </w:p>
    <w:p>
      <w:pPr>
        <w:pStyle w:val="ListBullet"/>
        <w:spacing w:after="40"/>
        <w:ind w:left="259" w:hanging="173"/>
      </w:pPr>
      <w:r>
        <w:rPr>
          <w:color w:val="261F2A"/>
          <w:sz w:val="19"/>
        </w:rPr>
        <w:t>Tool: Social-Engineer Toolkit (SET) in Kali Linux.</w:t>
      </w:r>
    </w:p>
    <w:p>
      <w:pPr>
        <w:pStyle w:val="ListBullet"/>
        <w:spacing w:after="40"/>
        <w:ind w:left="259" w:hanging="173"/>
      </w:pPr>
      <w:r>
        <w:rPr>
          <w:color w:val="261F2A"/>
          <w:sz w:val="19"/>
        </w:rPr>
        <w:t>Technique: Website Attack Vectors -&gt; Credential Harvester Attack Method.</w:t>
      </w:r>
    </w:p>
    <w:p>
      <w:pPr>
        <w:pStyle w:val="ListBullet"/>
        <w:spacing w:after="40"/>
        <w:ind w:left="259" w:hanging="173"/>
      </w:pPr>
      <w:r>
        <w:rPr>
          <w:color w:val="261F2A"/>
          <w:sz w:val="19"/>
        </w:rPr>
        <w:t>Controlled callback / POST address: 10.11.2.97.</w:t>
      </w:r>
    </w:p>
    <w:p>
      <w:pPr>
        <w:pStyle w:val="ListBullet"/>
        <w:spacing w:after="40"/>
        <w:ind w:left="259" w:hanging="173"/>
      </w:pPr>
      <w:r>
        <w:rPr>
          <w:color w:val="261F2A"/>
          <w:sz w:val="19"/>
        </w:rPr>
        <w:t>SET launched a local web service on TCP port 80 using a built-in template.</w:t>
      </w:r>
    </w:p>
    <w:p>
      <w:pPr>
        <w:pStyle w:val="ListBullet"/>
        <w:spacing w:after="40"/>
        <w:ind w:left="259" w:hanging="173"/>
      </w:pPr>
      <w:r>
        <w:rPr>
          <w:color w:val="261F2A"/>
          <w:sz w:val="19"/>
        </w:rPr>
        <w:t>Observed web activity included HTTP GET requests, a form POST, and an HTTP 302 redirect response.</w:t>
      </w:r>
    </w:p>
    <w:p>
      <w:pPr>
        <w:pStyle w:val="ListBullet"/>
        <w:spacing w:after="40"/>
        <w:ind w:left="259" w:hanging="173"/>
      </w:pPr>
      <w:r>
        <w:rPr>
          <w:color w:val="261F2A"/>
          <w:sz w:val="19"/>
        </w:rPr>
        <w:t>Only intentionally fake credentials were used during validation.</w:t>
      </w:r>
    </w:p>
    <w:tbl>
      <w:tblPr>
        <w:tblW w:type="auto" w:w="0"/>
        <w:tblLook w:firstColumn="1" w:firstRow="1" w:lastColumn="0" w:lastRow="0" w:noHBand="0" w:noVBand="1" w:val="04A0"/>
      </w:tblPr>
      <w:tblGrid>
        <w:gridCol w:w="10656"/>
      </w:tblGrid>
      <w:tr>
        <w:tc>
          <w:tcPr>
            <w:tcW w:type="dxa" w:w="10656"/>
            <w:shd w:fill="FFF4DE"/>
            <w:tcBorders>
              <w:top w:val="single" w:sz="7" w:color="E3BE6B"/>
              <w:left w:val="single" w:sz="7" w:color="E3BE6B"/>
              <w:bottom w:val="single" w:sz="7" w:color="E3BE6B"/>
              <w:right w:val="single" w:sz="7" w:color="E3BE6B"/>
              <w:insideH w:val="single" w:sz="7" w:color="E3BE6B"/>
              <w:insideV w:val="single" w:sz="7" w:color="E3BE6B"/>
            </w:tcBorders>
            <w:tcMar>
              <w:top w:w="95" w:type="dxa"/>
              <w:start w:w="125" w:type="dxa"/>
              <w:bottom w:w="95" w:type="dxa"/>
              <w:end w:w="125" w:type="dxa"/>
            </w:tcMar>
          </w:tcPr>
          <w:p>
            <w:r>
              <w:rPr>
                <w:b/>
                <w:color w:val="432D59"/>
                <w:sz w:val="18"/>
              </w:rPr>
              <w:t>DEREXI SCENARIO</w:t>
            </w:r>
          </w:p>
          <w:p>
            <w:pPr>
              <w:spacing w:after="0"/>
            </w:pPr>
            <w:r>
              <w:rPr>
                <w:color w:val="261F2A"/>
                <w:sz w:val="17"/>
              </w:rPr>
              <w:t>In the DeRexi context, the exercise represents how an employee could be deceived by a login-style page that imitates a trusted service. The defensive lesson is to combine user awareness with MFA, password managers, domain/URL verification, browser protections, secure email controls, and monitoring for suspicious credential submissions.</w:t>
            </w:r>
          </w:p>
        </w:tc>
      </w:tr>
    </w:tbl>
    <w:p>
      <w:pPr>
        <w:spacing w:before="120" w:after="60"/>
        <w:pBdr>
          <w:bottom w:val="single" w:sz="8" w:space="2" w:color="C89B3C"/>
        </w:pBdr>
      </w:pPr>
      <w:r>
        <w:rPr>
          <w:b/>
          <w:color w:val="432D59"/>
          <w:sz w:val="25"/>
        </w:rPr>
        <w:t>3. Wireshark capture + analysis</w:t>
      </w:r>
    </w:p>
    <w:p>
      <w:pPr>
        <w:spacing w:after="80"/>
      </w:pPr>
      <w:r>
        <w:rPr>
          <w:sz w:val="18"/>
        </w:rPr>
        <w:t>This is the only rubric item for which an actual capture is not present in the prior submitted evidence. The final assignment should include one real Wireshark screenshot from an authorized environment and a short packet analysis.</w:t>
      </w:r>
    </w:p>
    <w:tbl>
      <w:tblPr>
        <w:tblW w:type="auto" w:w="0"/>
        <w:tblLook w:firstColumn="1" w:firstRow="1" w:lastColumn="0" w:lastRow="0" w:noHBand="0" w:noVBand="1" w:val="04A0"/>
      </w:tblPr>
      <w:tblGrid>
        <w:gridCol w:w="10656"/>
      </w:tblGrid>
      <w:tr>
        <w:tc>
          <w:tcPr>
            <w:tcW w:type="dxa" w:w="10656"/>
            <w:shd w:fill="F7F5FA"/>
            <w:tcBorders>
              <w:top w:val="dashed" w:sz="10" w:color="B7A8C4"/>
              <w:left w:val="dashed" w:sz="10" w:color="B7A8C4"/>
              <w:bottom w:val="dashed" w:sz="10" w:color="B7A8C4"/>
              <w:right w:val="dashed" w:sz="10" w:color="B7A8C4"/>
              <w:insideH w:val="dashed" w:sz="10" w:color="B7A8C4"/>
              <w:insideV w:val="dashed" w:sz="10" w:color="B7A8C4"/>
            </w:tcBorders>
            <w:tcMar>
              <w:top w:w="180" w:type="dxa"/>
              <w:start w:w="140" w:type="dxa"/>
              <w:bottom w:w="180" w:type="dxa"/>
              <w:end w:w="140" w:type="dxa"/>
            </w:tcMar>
          </w:tcPr>
          <w:p>
            <w:pPr>
              <w:jc w:val="center"/>
            </w:pPr>
            <w:r>
              <w:rPr>
                <w:b/>
                <w:color w:val="432D59"/>
                <w:sz w:val="24"/>
              </w:rPr>
              <w:t>INSERT WIRESHARK CAPTURE HERE</w:t>
            </w:r>
          </w:p>
          <w:p>
            <w:pPr>
              <w:jc w:val="center"/>
            </w:pPr>
            <w:r>
              <w:rPr>
                <w:color w:val="665C6D"/>
                <w:sz w:val="17"/>
              </w:rPr>
              <w:t>Use a screenshot that clearly shows the packet list and selected packet details.</w:t>
            </w:r>
          </w:p>
        </w:tc>
      </w:tr>
    </w:tbl>
    <w:p>
      <w:pPr>
        <w:spacing w:after="20"/>
      </w:pPr>
    </w:p>
    <w:tbl>
      <w:tblPr>
        <w:tblW w:type="auto" w:w="0"/>
        <w:jc w:val="center"/>
        <w:tblLayout w:type="fixed"/>
        <w:tblLook w:firstColumn="1" w:firstRow="1" w:lastColumn="0" w:lastRow="0" w:noHBand="0" w:noVBand="1" w:val="04A0"/>
      </w:tblPr>
      <w:tblGrid>
        <w:gridCol w:w="2448"/>
        <w:gridCol w:w="8928"/>
      </w:tblGrid>
      <w:tr>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Capture context</w:t>
            </w:r>
          </w:p>
        </w:tc>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Identify the authorized interface/test and what traffic was intentionally generated.</w:t>
            </w:r>
          </w:p>
        </w:tc>
      </w:tr>
      <w:tr>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Source / destination</w:t>
            </w:r>
          </w:p>
        </w:tc>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Record the relevant IP addresses or endpoints visible in the selected packet.</w:t>
            </w:r>
          </w:p>
        </w:tc>
      </w:tr>
      <w:tr>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Protocol</w:t>
            </w:r>
          </w:p>
        </w:tc>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Identify the protocol shown (for example TCP, DNS, TLS, HTTP, ICMP).</w:t>
            </w:r>
          </w:p>
        </w:tc>
      </w:tr>
      <w:tr>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Ports</w:t>
            </w:r>
          </w:p>
        </w:tc>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Note any relevant source/destination ports and what service they represent.</w:t>
            </w:r>
          </w:p>
        </w:tc>
      </w:tr>
      <w:tr>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Packet behavior</w:t>
            </w:r>
          </w:p>
        </w:tc>
        <w:tc>
          <w:tcPr>
            <w:tcW w:type="dxa" w:w="5328"/>
            <w:shd w:fill="FAE6F2"/>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Explain what the selected packet is doing - request, response, handshake, lookup, transfer, etc.</w:t>
            </w:r>
          </w:p>
        </w:tc>
      </w:tr>
      <w:tr>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b/>
                <w:color w:val="432D59"/>
                <w:sz w:val="16"/>
              </w:rPr>
              <w:t>Security meaning</w:t>
            </w:r>
          </w:p>
        </w:tc>
        <w:tc>
          <w:tcPr>
            <w:tcW w:type="dxa" w:w="5328"/>
            <w:shd w:fill="FFFFFF"/>
            <w:tcBorders>
              <w:top w:val="single" w:sz="6" w:color="D8D2DD"/>
              <w:left w:val="single" w:sz="6" w:color="D8D2DD"/>
              <w:bottom w:val="single" w:sz="6" w:color="D8D2DD"/>
              <w:right w:val="single" w:sz="6" w:color="D8D2DD"/>
              <w:insideH w:val="single" w:sz="6" w:color="D8D2DD"/>
              <w:insideV w:val="single" w:sz="6" w:color="D8D2DD"/>
            </w:tcBorders>
            <w:tcMar>
              <w:top w:w="65" w:type="dxa"/>
              <w:start w:w="80" w:type="dxa"/>
              <w:bottom w:w="65" w:type="dxa"/>
              <w:end w:w="80" w:type="dxa"/>
            </w:tcMar>
          </w:tcPr>
          <w:p>
            <w:r>
              <w:rPr>
                <w:color w:val="261F2A"/>
                <w:sz w:val="16"/>
              </w:rPr>
              <w:t>Explain what the traffic reveals about DeRexi's security posture or normal network behavior.</w:t>
            </w:r>
          </w:p>
        </w:tc>
      </w:tr>
    </w:tbl>
    <w:tbl>
      <w:tblPr>
        <w:tblW w:type="auto" w:w="0"/>
        <w:tblLook w:firstColumn="1" w:firstRow="1" w:lastColumn="0" w:lastRow="0" w:noHBand="0" w:noVBand="1" w:val="04A0"/>
      </w:tblPr>
      <w:tblGrid>
        <w:gridCol w:w="10656"/>
      </w:tblGrid>
      <w:tr>
        <w:tc>
          <w:tcPr>
            <w:tcW w:type="dxa" w:w="10656"/>
            <w:shd w:fill="E9F6EC"/>
            <w:tcBorders>
              <w:top w:val="single" w:sz="7" w:color="ADD9B5"/>
              <w:left w:val="single" w:sz="7" w:color="ADD9B5"/>
              <w:bottom w:val="single" w:sz="7" w:color="ADD9B5"/>
              <w:right w:val="single" w:sz="7" w:color="ADD9B5"/>
              <w:insideH w:val="single" w:sz="7" w:color="ADD9B5"/>
              <w:insideV w:val="single" w:sz="7" w:color="ADD9B5"/>
            </w:tcBorders>
            <w:tcMar>
              <w:top w:w="95" w:type="dxa"/>
              <w:start w:w="125" w:type="dxa"/>
              <w:bottom w:w="95" w:type="dxa"/>
              <w:end w:w="125" w:type="dxa"/>
            </w:tcMar>
          </w:tcPr>
          <w:p>
            <w:r>
              <w:rPr>
                <w:b/>
                <w:color w:val="432D59"/>
                <w:sz w:val="18"/>
              </w:rPr>
              <w:t>SUBMISSION NOTE</w:t>
            </w:r>
          </w:p>
          <w:p>
            <w:pPr>
              <w:spacing w:after="0"/>
            </w:pPr>
            <w:r>
              <w:rPr>
                <w:color w:val="261F2A"/>
                <w:sz w:val="17"/>
              </w:rPr>
              <w:t>Do not fabricate the Wireshark screenshot. Once the capture is inserted and analyzed, the report will address all three rubric requirements. The Nmap and SET sections reuse already documented authorized classroom-lab evidence.</w:t>
            </w:r>
          </w:p>
        </w:tc>
      </w:tr>
    </w:tbl>
    <w:p>
      <w:pPr>
        <w:spacing w:before="160"/>
        <w:pBdr>
          <w:top w:val="single" w:sz="6" w:space="4" w:color="D6CFD9"/>
        </w:pBdr>
      </w:pPr>
    </w:p>
    <w:tbl>
      <w:tblPr>
        <w:tblW w:type="auto" w:w="0"/>
        <w:tblLayout w:type="fixed"/>
        <w:tblLook w:firstColumn="1" w:firstRow="1" w:lastColumn="0" w:lastRow="0" w:noHBand="0" w:noVBand="1" w:val="04A0"/>
      </w:tblPr>
      <w:tblGrid>
        <w:gridCol w:w="5328"/>
        <w:gridCol w:w="5328"/>
      </w:tblGrid>
      <w:tr>
        <w:tc>
          <w:tcPr>
            <w:tcW w:type="dxa" w:w="9360"/>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r>
              <w:rPr>
                <w:color w:val="665C6D"/>
                <w:sz w:val="16"/>
              </w:rPr>
              <w:t>Utilize Network Security Tools - DeRexi working evidence report</w:t>
            </w:r>
          </w:p>
        </w:tc>
        <w:tc>
          <w:tcPr>
            <w:tcW w:type="dxa" w:w="1728"/>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jc w:val="right"/>
            </w:pPr>
            <w:r>
              <w:rPr>
                <w:color w:val="665C6D"/>
                <w:sz w:val="16"/>
              </w:rPr>
              <w:t>Page 2 of 2</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61F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32D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32D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32D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