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429"/>
        <w:gridCol w:w="5429"/>
      </w:tblGrid>
      <w:tr>
        <w:tc>
          <w:tcPr>
            <w:tcW w:type="dxa" w:w="8784"/>
            <w:shd w:fill="0B1422"/>
            <w:tcBorders>
              <w:top w:val="nil" w:sz="0" w:color="0B1422"/>
              <w:left w:val="nil" w:sz="0" w:color="0B1422"/>
              <w:bottom w:val="nil" w:sz="0" w:color="0B1422"/>
              <w:right w:val="nil" w:sz="0" w:color="0B1422"/>
              <w:insideH w:val="nil" w:sz="0" w:color="0B1422"/>
              <w:insideV w:val="nil" w:sz="0" w:color="0B1422"/>
            </w:tcBorders>
            <w:tcMar>
              <w:top w:w="85" w:type="dxa"/>
              <w:start w:w="110" w:type="dxa"/>
              <w:bottom w:w="85" w:type="dxa"/>
              <w:end w:w="110" w:type="dxa"/>
            </w:tcMar>
          </w:tcPr>
          <w:p>
            <w:pPr>
              <w:spacing w:after="0"/>
            </w:pPr>
            <w:r>
              <w:rPr>
                <w:rFonts w:ascii="Arial" w:hAnsi="Arial"/>
                <w:b/>
                <w:color w:val="1BC5D8"/>
                <w:sz w:val="17"/>
              </w:rPr>
              <w:t>NETWORK SECURITY // MONITORING &amp; RESPONSE</w:t>
            </w:r>
          </w:p>
        </w:tc>
        <w:tc>
          <w:tcPr>
            <w:tcW w:type="dxa" w:w="2448"/>
            <w:shd w:fill="0B1422"/>
            <w:tcBorders>
              <w:top w:val="nil" w:sz="0" w:color="0B1422"/>
              <w:left w:val="nil" w:sz="0" w:color="0B1422"/>
              <w:bottom w:val="nil" w:sz="0" w:color="0B1422"/>
              <w:right w:val="nil" w:sz="0" w:color="0B1422"/>
              <w:insideH w:val="nil" w:sz="0" w:color="0B1422"/>
              <w:insideV w:val="nil" w:sz="0" w:color="0B1422"/>
            </w:tcBorders>
            <w:tcMar>
              <w:top w:w="85" w:type="dxa"/>
              <w:start w:w="110" w:type="dxa"/>
              <w:bottom w:w="85" w:type="dxa"/>
              <w:end w:w="110" w:type="dxa"/>
            </w:tcMar>
          </w:tcPr>
          <w:p>
            <w:pPr>
              <w:spacing w:after="0"/>
              <w:jc w:val="right"/>
            </w:pPr>
            <w:r>
              <w:rPr>
                <w:b/>
                <w:color w:val="FFFFFF"/>
                <w:sz w:val="17"/>
              </w:rPr>
              <w:t>DEREXI // #1</w:t>
            </w:r>
          </w:p>
        </w:tc>
      </w:tr>
    </w:tbl>
    <w:p>
      <w:pPr>
        <w:spacing w:after="0"/>
      </w:pPr>
    </w:p>
    <w:tbl>
      <w:tblPr>
        <w:tblW w:type="auto" w:w="0"/>
        <w:tblLook w:firstColumn="1" w:firstRow="1" w:lastColumn="0" w:lastRow="0" w:noHBand="0" w:noVBand="1" w:val="04A0"/>
      </w:tblPr>
      <w:tblGrid>
        <w:gridCol w:w="10858"/>
      </w:tblGrid>
      <w:tr>
        <w:tc>
          <w:tcPr>
            <w:tcW w:type="dxa" w:w="10858"/>
            <w:shd w:fill="0B1422"/>
            <w:tcBorders>
              <w:top w:val="nil" w:sz="0" w:color="0B1422"/>
              <w:left w:val="nil" w:sz="0" w:color="0B1422"/>
              <w:bottom w:val="nil" w:sz="0" w:color="0B1422"/>
              <w:right w:val="nil" w:sz="0" w:color="0B1422"/>
              <w:insideH w:val="nil" w:sz="0" w:color="0B1422"/>
              <w:insideV w:val="nil" w:sz="0" w:color="0B1422"/>
            </w:tcBorders>
            <w:tcMar>
              <w:top w:w="210" w:type="dxa"/>
              <w:start w:w="170" w:type="dxa"/>
              <w:bottom w:w="210" w:type="dxa"/>
              <w:end w:w="170" w:type="dxa"/>
            </w:tcMar>
          </w:tcPr>
          <w:p>
            <w:pPr>
              <w:spacing w:after="120"/>
              <w:jc w:val="center"/>
            </w:pPr>
            <w:r>
              <w:rPr>
                <w:b/>
                <w:color w:val="FFFFFF"/>
                <w:sz w:val="46"/>
              </w:rPr>
              <w:t>MONITOR &amp; RESPOND</w:t>
            </w:r>
          </w:p>
          <w:p>
            <w:pPr>
              <w:spacing w:after="40"/>
              <w:jc w:val="center"/>
            </w:pPr>
            <w:r>
              <w:rPr>
                <w:b/>
                <w:color w:val="FFFFFF"/>
                <w:sz w:val="40"/>
              </w:rPr>
              <w:t>TO NETWORK SECURITY EVENTS</w:t>
            </w:r>
          </w:p>
          <w:p>
            <w:pPr>
              <w:spacing w:after="0"/>
              <w:jc w:val="center"/>
            </w:pPr>
            <w:r>
              <w:rPr>
                <w:color w:val="DBE1E8"/>
                <w:sz w:val="19"/>
              </w:rPr>
              <w:t>Network Security Assignment #7  |  DeRexi: Policy Pilot</w:t>
            </w:r>
          </w:p>
        </w:tc>
      </w:tr>
    </w:tbl>
    <w:p>
      <w:pPr>
        <w:spacing w:after="0"/>
      </w:pPr>
    </w:p>
    <w:tbl>
      <w:tblPr>
        <w:tblW w:type="auto" w:w="0"/>
        <w:tblLook w:firstColumn="1" w:firstRow="1" w:lastColumn="0" w:lastRow="0" w:noHBand="0" w:noVBand="1" w:val="04A0"/>
      </w:tblPr>
      <w:tblGrid>
        <w:gridCol w:w="10858"/>
      </w:tblGrid>
      <w:tr>
        <w:tc>
          <w:tcPr>
            <w:tcW w:type="dxa" w:w="10858"/>
            <w:shd w:fill="FFF9EA"/>
            <w:tcBorders>
              <w:top w:val="single" w:sz="7" w:color="D9B75B"/>
              <w:left w:val="single" w:sz="7" w:color="D9B75B"/>
              <w:bottom w:val="single" w:sz="7" w:color="D9B75B"/>
              <w:right w:val="single" w:sz="7" w:color="D9B75B"/>
              <w:insideH w:val="single" w:sz="7" w:color="D9B75B"/>
              <w:insideV w:val="single" w:sz="7" w:color="D9B75B"/>
            </w:tcBorders>
            <w:tcMar>
              <w:top w:w="90" w:type="dxa"/>
              <w:start w:w="115" w:type="dxa"/>
              <w:bottom w:w="90" w:type="dxa"/>
              <w:end w:w="115" w:type="dxa"/>
            </w:tcMar>
          </w:tcPr>
          <w:p>
            <w:pPr>
              <w:spacing w:after="40"/>
            </w:pPr>
            <w:r>
              <w:rPr>
                <w:b/>
                <w:color w:val="AE8925"/>
                <w:sz w:val="16"/>
              </w:rPr>
              <w:t xml:space="preserve">SCENARIO STATUS  </w:t>
            </w:r>
            <w:r>
              <w:rPr>
                <w:color w:val="1B222C"/>
                <w:sz w:val="17"/>
              </w:rPr>
              <w:t>FICTIONAL / EDUCATIONAL. This report adapts the prior DeRexi APT38 / BeagleBoyz case study for the Network Security monitoring-and-response rubric. The incident timeline and log entries are simulated evidence, not production records.</w:t>
            </w:r>
          </w:p>
        </w:tc>
      </w:tr>
    </w:tbl>
    <w:p>
      <w:pPr>
        <w:spacing w:after="0"/>
      </w:pPr>
    </w:p>
    <w:p>
      <w:pPr>
        <w:spacing w:before="100" w:after="20"/>
      </w:pPr>
      <w:r>
        <w:rPr>
          <w:b/>
          <w:color w:val="1BC5D8"/>
          <w:sz w:val="16"/>
        </w:rPr>
        <w:t xml:space="preserve">01 // </w:t>
      </w:r>
      <w:r>
        <w:rPr>
          <w:b/>
          <w:color w:val="1BC5D8"/>
          <w:sz w:val="16"/>
        </w:rPr>
        <w:t>INCIDENT SUMMARY</w:t>
      </w:r>
    </w:p>
    <w:p>
      <w:pPr>
        <w:spacing w:after="80"/>
      </w:pPr>
      <w:r>
        <w:rPr>
          <w:b/>
          <w:color w:val="1B222C"/>
          <w:sz w:val="33"/>
        </w:rPr>
        <w:t>Security monitoring identifies a suspected DeRexi compromise</w:t>
      </w:r>
    </w:p>
    <w:p>
      <w:pPr>
        <w:spacing w:after="80"/>
      </w:pPr>
      <w:r>
        <w:rPr>
          <w:rFonts w:ascii="Arial" w:hAnsi="Arial"/>
          <w:b w:val="0"/>
          <w:color w:val="1B222C"/>
          <w:sz w:val="18"/>
        </w:rPr>
        <w:t>In this fictional scenario, a DeRexi employee receives a client-themed spearphishing attachment. After the file is opened, monitoring begins to show unusual PowerShell execution, creation of a previously unseen Windows service, repeated authentication attempts, directory and network-share enumeration, suspicious data staging, and later file-deletion / timestamp anomalies.</w:t>
      </w:r>
    </w:p>
    <w:p>
      <w:pPr>
        <w:spacing w:after="100"/>
      </w:pPr>
      <w:r>
        <w:rPr>
          <w:rFonts w:ascii="Arial" w:hAnsi="Arial"/>
          <w:b w:val="0"/>
          <w:color w:val="1B222C"/>
          <w:sz w:val="18"/>
        </w:rPr>
        <w:t>At 10:09, the Security Operations Center (SOC) correlates the endpoint, identity and discovery alerts and declares a suspected APT38 / BeagleBoyz intrusion. Because DeRexi supports financial institutions, the event is treated as a high-severity potential supply-chain incident until forensic review is complete.</w:t>
      </w:r>
    </w:p>
    <w:tbl>
      <w:tblPr>
        <w:tblW w:type="auto" w:w="0"/>
        <w:tblLook w:firstColumn="1" w:firstRow="1" w:lastColumn="0" w:lastRow="0" w:noHBand="0" w:noVBand="1" w:val="04A0"/>
      </w:tblPr>
      <w:tblGrid>
        <w:gridCol w:w="10858"/>
      </w:tblGrid>
      <w:tr>
        <w:tc>
          <w:tcPr>
            <w:tcW w:type="dxa" w:w="10858"/>
            <w:shd w:fill="EAF8FA"/>
            <w:tcBorders>
              <w:top w:val="single" w:sz="7" w:color="55C5CF"/>
              <w:left w:val="single" w:sz="7" w:color="55C5CF"/>
              <w:bottom w:val="single" w:sz="7" w:color="55C5CF"/>
              <w:right w:val="single" w:sz="7" w:color="55C5CF"/>
              <w:insideH w:val="single" w:sz="7" w:color="55C5CF"/>
              <w:insideV w:val="single" w:sz="7" w:color="55C5CF"/>
            </w:tcBorders>
            <w:tcMar>
              <w:top w:w="90" w:type="dxa"/>
              <w:start w:w="115" w:type="dxa"/>
              <w:bottom w:w="90" w:type="dxa"/>
              <w:end w:w="115" w:type="dxa"/>
            </w:tcMar>
          </w:tcPr>
          <w:p>
            <w:pPr>
              <w:spacing w:after="40"/>
            </w:pPr>
            <w:r>
              <w:rPr>
                <w:b/>
                <w:color w:val="AE8925"/>
                <w:sz w:val="16"/>
              </w:rPr>
              <w:t xml:space="preserve">SECURITY INCIDENT IDENTIFIED  </w:t>
            </w:r>
            <w:r>
              <w:rPr>
                <w:color w:val="1B222C"/>
                <w:sz w:val="17"/>
              </w:rPr>
              <w:t>Suspected APT38 / BeagleBoyz compromise of a DeRexi employee endpoint with potential access to internal policy resources and administrative pathways.</w:t>
            </w:r>
          </w:p>
        </w:tc>
      </w:tr>
    </w:tbl>
    <w:p>
      <w:pPr>
        <w:spacing w:after="0"/>
      </w:pPr>
    </w:p>
    <w:p>
      <w:pPr>
        <w:spacing w:before="100" w:after="20"/>
      </w:pPr>
      <w:r>
        <w:rPr>
          <w:b/>
          <w:color w:val="1BC5D8"/>
          <w:sz w:val="16"/>
        </w:rPr>
        <w:t xml:space="preserve">02 // </w:t>
      </w:r>
      <w:r>
        <w:rPr>
          <w:b/>
          <w:color w:val="1BC5D8"/>
          <w:sz w:val="16"/>
        </w:rPr>
        <w:t>SIMULATED INCIDENT LOG</w:t>
      </w:r>
    </w:p>
    <w:p>
      <w:pPr>
        <w:spacing w:after="80"/>
      </w:pPr>
      <w:r>
        <w:rPr>
          <w:b/>
          <w:color w:val="1B222C"/>
          <w:sz w:val="33"/>
        </w:rPr>
        <w:t>From alert activity to containment</w:t>
      </w:r>
    </w:p>
    <w:tbl>
      <w:tblPr>
        <w:tblW w:type="auto" w:w="0"/>
        <w:jc w:val="center"/>
        <w:tblLayout w:type="fixed"/>
        <w:tblLook w:firstColumn="1" w:firstRow="1" w:lastColumn="0" w:lastRow="0" w:noHBand="0" w:noVBand="1" w:val="04A0"/>
      </w:tblPr>
      <w:tblGrid>
        <w:gridCol w:w="2714"/>
        <w:gridCol w:w="2714"/>
        <w:gridCol w:w="2714"/>
        <w:gridCol w:w="2714"/>
      </w:tblGrid>
      <w:tr>
        <w:tc>
          <w:tcPr>
            <w:tcW w:type="dxa" w:w="1008"/>
            <w:shd w:fill="0B1422"/>
            <w:tcBorders>
              <w:top w:val="single" w:sz="1" w:color="FFFFFF"/>
              <w:left w:val="single" w:sz="1" w:color="FFFFFF"/>
              <w:bottom w:val="single" w:sz="1" w:color="FFFFFF"/>
              <w:right w:val="single" w:sz="1" w:color="FFFFFF"/>
              <w:insideH w:val="single" w:sz="1" w:color="FFFFFF"/>
              <w:insideV w:val="single" w:sz="1" w:color="FFFFFF"/>
            </w:tcBorders>
            <w:tcMar>
              <w:top w:w="55" w:type="dxa"/>
              <w:start w:w="70" w:type="dxa"/>
              <w:bottom w:w="55" w:type="dxa"/>
              <w:end w:w="70" w:type="dxa"/>
            </w:tcMar>
            <w:vAlign w:val="center"/>
          </w:tcPr>
          <w:p>
            <w:r>
              <w:rPr>
                <w:b/>
                <w:color w:val="FFFFFF"/>
                <w:sz w:val="15"/>
              </w:rPr>
              <w:t>Time</w:t>
            </w:r>
          </w:p>
        </w:tc>
        <w:tc>
          <w:tcPr>
            <w:tcW w:type="dxa" w:w="2232"/>
            <w:shd w:fill="0B1422"/>
            <w:tcBorders>
              <w:top w:val="single" w:sz="1" w:color="FFFFFF"/>
              <w:left w:val="single" w:sz="1" w:color="FFFFFF"/>
              <w:bottom w:val="single" w:sz="1" w:color="FFFFFF"/>
              <w:right w:val="single" w:sz="1" w:color="FFFFFF"/>
              <w:insideH w:val="single" w:sz="1" w:color="FFFFFF"/>
              <w:insideV w:val="single" w:sz="1" w:color="FFFFFF"/>
            </w:tcBorders>
            <w:tcMar>
              <w:top w:w="55" w:type="dxa"/>
              <w:start w:w="70" w:type="dxa"/>
              <w:bottom w:w="55" w:type="dxa"/>
              <w:end w:w="70" w:type="dxa"/>
            </w:tcMar>
            <w:vAlign w:val="center"/>
          </w:tcPr>
          <w:p>
            <w:r>
              <w:rPr>
                <w:b/>
                <w:color w:val="FFFFFF"/>
                <w:sz w:val="15"/>
              </w:rPr>
              <w:t>Source / Event</w:t>
            </w:r>
          </w:p>
        </w:tc>
        <w:tc>
          <w:tcPr>
            <w:tcW w:type="dxa" w:w="4680"/>
            <w:shd w:fill="0B1422"/>
            <w:tcBorders>
              <w:top w:val="single" w:sz="1" w:color="FFFFFF"/>
              <w:left w:val="single" w:sz="1" w:color="FFFFFF"/>
              <w:bottom w:val="single" w:sz="1" w:color="FFFFFF"/>
              <w:right w:val="single" w:sz="1" w:color="FFFFFF"/>
              <w:insideH w:val="single" w:sz="1" w:color="FFFFFF"/>
              <w:insideV w:val="single" w:sz="1" w:color="FFFFFF"/>
            </w:tcBorders>
            <w:tcMar>
              <w:top w:w="55" w:type="dxa"/>
              <w:start w:w="70" w:type="dxa"/>
              <w:bottom w:w="55" w:type="dxa"/>
              <w:end w:w="70" w:type="dxa"/>
            </w:tcMar>
            <w:vAlign w:val="center"/>
          </w:tcPr>
          <w:p>
            <w:r>
              <w:rPr>
                <w:b/>
                <w:color w:val="FFFFFF"/>
                <w:sz w:val="15"/>
              </w:rPr>
              <w:t>Monitoring evidence</w:t>
            </w:r>
          </w:p>
        </w:tc>
        <w:tc>
          <w:tcPr>
            <w:tcW w:type="dxa" w:w="2880"/>
            <w:shd w:fill="0B1422"/>
            <w:tcBorders>
              <w:top w:val="single" w:sz="1" w:color="FFFFFF"/>
              <w:left w:val="single" w:sz="1" w:color="FFFFFF"/>
              <w:bottom w:val="single" w:sz="1" w:color="FFFFFF"/>
              <w:right w:val="single" w:sz="1" w:color="FFFFFF"/>
              <w:insideH w:val="single" w:sz="1" w:color="FFFFFF"/>
              <w:insideV w:val="single" w:sz="1" w:color="FFFFFF"/>
            </w:tcBorders>
            <w:tcMar>
              <w:top w:w="55" w:type="dxa"/>
              <w:start w:w="70" w:type="dxa"/>
              <w:bottom w:w="55" w:type="dxa"/>
              <w:end w:w="70" w:type="dxa"/>
            </w:tcMar>
            <w:vAlign w:val="center"/>
          </w:tcPr>
          <w:p>
            <w:r>
              <w:rPr>
                <w:b/>
                <w:color w:val="FFFFFF"/>
                <w:sz w:val="15"/>
              </w:rPr>
              <w:t>Analyst action</w:t>
            </w:r>
          </w:p>
        </w:tc>
      </w:tr>
      <w:tr>
        <w:tc>
          <w:tcPr>
            <w:tcW w:type="dxa" w:w="1008"/>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b/>
                <w:color w:val="0D7F8F"/>
                <w:sz w:val="14"/>
              </w:rPr>
              <w:t>08:47</w:t>
            </w:r>
          </w:p>
        </w:tc>
        <w:tc>
          <w:tcPr>
            <w:tcW w:type="dxa" w:w="2232"/>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Endpoint - PowerShell</w:t>
            </w:r>
          </w:p>
        </w:tc>
        <w:tc>
          <w:tcPr>
            <w:tcW w:type="dxa" w:w="4680"/>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Unusual PowerShell execution after attachment opened.</w:t>
            </w:r>
          </w:p>
        </w:tc>
        <w:tc>
          <w:tcPr>
            <w:tcW w:type="dxa" w:w="2880"/>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Open investigation; preserve endpoint telemetry.</w:t>
            </w:r>
          </w:p>
        </w:tc>
      </w:tr>
      <w:tr>
        <w:tc>
          <w:tcPr>
            <w:tcW w:type="dxa" w:w="1008"/>
            <w:shd w:fill="EDF2F6"/>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b/>
                <w:color w:val="0D7F8F"/>
                <w:sz w:val="14"/>
              </w:rPr>
              <w:t>09:03</w:t>
            </w:r>
          </w:p>
        </w:tc>
        <w:tc>
          <w:tcPr>
            <w:tcW w:type="dxa" w:w="2232"/>
            <w:shd w:fill="EDF2F6"/>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Endpoint - Service creation</w:t>
            </w:r>
          </w:p>
        </w:tc>
        <w:tc>
          <w:tcPr>
            <w:tcW w:type="dxa" w:w="4680"/>
            <w:shd w:fill="EDF2F6"/>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Previously unseen Windows service appears.</w:t>
            </w:r>
          </w:p>
        </w:tc>
        <w:tc>
          <w:tcPr>
            <w:tcW w:type="dxa" w:w="2880"/>
            <w:shd w:fill="EDF2F6"/>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Escalate persistence suspicion.</w:t>
            </w:r>
          </w:p>
        </w:tc>
      </w:tr>
      <w:tr>
        <w:tc>
          <w:tcPr>
            <w:tcW w:type="dxa" w:w="1008"/>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b/>
                <w:color w:val="0D7F8F"/>
                <w:sz w:val="14"/>
              </w:rPr>
              <w:t>09:18</w:t>
            </w:r>
          </w:p>
        </w:tc>
        <w:tc>
          <w:tcPr>
            <w:tcW w:type="dxa" w:w="2232"/>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Identity - Authentication</w:t>
            </w:r>
          </w:p>
        </w:tc>
        <w:tc>
          <w:tcPr>
            <w:tcW w:type="dxa" w:w="4680"/>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Repeated access attempts against additional internal accounts.</w:t>
            </w:r>
          </w:p>
        </w:tc>
        <w:tc>
          <w:tcPr>
            <w:tcW w:type="dxa" w:w="2880"/>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Review account activity; prepare credential containment.</w:t>
            </w:r>
          </w:p>
        </w:tc>
      </w:tr>
      <w:tr>
        <w:tc>
          <w:tcPr>
            <w:tcW w:type="dxa" w:w="1008"/>
            <w:shd w:fill="EDF2F6"/>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b/>
                <w:color w:val="0D7F8F"/>
                <w:sz w:val="14"/>
              </w:rPr>
              <w:t>09:31</w:t>
            </w:r>
          </w:p>
        </w:tc>
        <w:tc>
          <w:tcPr>
            <w:tcW w:type="dxa" w:w="2232"/>
            <w:shd w:fill="EDF2F6"/>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Network / endpoint - Discovery</w:t>
            </w:r>
          </w:p>
        </w:tc>
        <w:tc>
          <w:tcPr>
            <w:tcW w:type="dxa" w:w="4680"/>
            <w:shd w:fill="EDF2F6"/>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Directory and network-share enumeration begins.</w:t>
            </w:r>
          </w:p>
        </w:tc>
        <w:tc>
          <w:tcPr>
            <w:tcW w:type="dxa" w:w="2880"/>
            <w:shd w:fill="EDF2F6"/>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Correlate activity with policy-resource access.</w:t>
            </w:r>
          </w:p>
        </w:tc>
      </w:tr>
      <w:tr>
        <w:tc>
          <w:tcPr>
            <w:tcW w:type="dxa" w:w="1008"/>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b/>
                <w:color w:val="0D7F8F"/>
                <w:sz w:val="14"/>
              </w:rPr>
              <w:t>10:02</w:t>
            </w:r>
          </w:p>
        </w:tc>
        <w:tc>
          <w:tcPr>
            <w:tcW w:type="dxa" w:w="2232"/>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Endpoint - Defense evasion</w:t>
            </w:r>
          </w:p>
        </w:tc>
        <w:tc>
          <w:tcPr>
            <w:tcW w:type="dxa" w:w="4680"/>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Temporary artifacts disappear; timestamp anomalies observed.</w:t>
            </w:r>
          </w:p>
        </w:tc>
        <w:tc>
          <w:tcPr>
            <w:tcW w:type="dxa" w:w="2880"/>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Preserve logs and increase incident severity.</w:t>
            </w:r>
          </w:p>
        </w:tc>
      </w:tr>
      <w:tr>
        <w:tc>
          <w:tcPr>
            <w:tcW w:type="dxa" w:w="1008"/>
            <w:shd w:fill="EDF2F6"/>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b/>
                <w:color w:val="0D7F8F"/>
                <w:sz w:val="14"/>
              </w:rPr>
              <w:t>10:09</w:t>
            </w:r>
          </w:p>
        </w:tc>
        <w:tc>
          <w:tcPr>
            <w:tcW w:type="dxa" w:w="2232"/>
            <w:shd w:fill="EDF2F6"/>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SOC correlation</w:t>
            </w:r>
          </w:p>
        </w:tc>
        <w:tc>
          <w:tcPr>
            <w:tcW w:type="dxa" w:w="4680"/>
            <w:shd w:fill="EDF2F6"/>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PowerShell + service creation + discovery alerts align.</w:t>
            </w:r>
          </w:p>
        </w:tc>
        <w:tc>
          <w:tcPr>
            <w:tcW w:type="dxa" w:w="2880"/>
            <w:shd w:fill="EDF2F6"/>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Declare suspected compromise.</w:t>
            </w:r>
          </w:p>
        </w:tc>
      </w:tr>
      <w:tr>
        <w:tc>
          <w:tcPr>
            <w:tcW w:type="dxa" w:w="1008"/>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b/>
                <w:color w:val="0D7F8F"/>
                <w:sz w:val="14"/>
              </w:rPr>
              <w:t>10:16</w:t>
            </w:r>
          </w:p>
        </w:tc>
        <w:tc>
          <w:tcPr>
            <w:tcW w:type="dxa" w:w="2232"/>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IR response</w:t>
            </w:r>
          </w:p>
        </w:tc>
        <w:tc>
          <w:tcPr>
            <w:tcW w:type="dxa" w:w="4680"/>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Endpoint isolated; accounts disabled; sessions revoked.</w:t>
            </w:r>
          </w:p>
        </w:tc>
        <w:tc>
          <w:tcPr>
            <w:tcW w:type="dxa" w:w="2880"/>
            <w:shd w:fill="FFFFFF"/>
            <w:tcBorders>
              <w:top w:val="single" w:sz="4" w:color="D6DEE7"/>
              <w:left w:val="single" w:sz="4" w:color="D6DEE7"/>
              <w:bottom w:val="single" w:sz="4" w:color="D6DEE7"/>
              <w:right w:val="single" w:sz="4" w:color="D6DEE7"/>
              <w:insideH w:val="single" w:sz="4" w:color="D6DEE7"/>
              <w:insideV w:val="single" w:sz="4" w:color="D6DEE7"/>
            </w:tcBorders>
            <w:tcMar>
              <w:top w:w="45" w:type="dxa"/>
              <w:start w:w="65" w:type="dxa"/>
              <w:bottom w:w="45" w:type="dxa"/>
              <w:end w:w="65" w:type="dxa"/>
            </w:tcMar>
            <w:vAlign w:val="center"/>
          </w:tcPr>
          <w:p>
            <w:pPr>
              <w:spacing w:after="0"/>
            </w:pPr>
            <w:r>
              <w:rPr>
                <w:color w:val="1B222C"/>
                <w:sz w:val="14"/>
              </w:rPr>
              <w:t>Contain affected access paths.</w:t>
            </w:r>
          </w:p>
        </w:tc>
      </w:tr>
    </w:tbl>
    <w:p>
      <w:pPr>
        <w:spacing w:before="80" w:after="20"/>
        <w:pBdr>
          <w:top w:val="single" w:sz="5" w:space="3" w:color="D8E0E8"/>
        </w:pBdr>
      </w:pPr>
    </w:p>
    <w:tbl>
      <w:tblPr>
        <w:tblW w:type="auto" w:w="0"/>
        <w:tblLayout w:type="fixed"/>
        <w:tblLook w:firstColumn="1" w:firstRow="1" w:lastColumn="0" w:lastRow="0" w:noHBand="0" w:noVBand="1" w:val="04A0"/>
      </w:tblPr>
      <w:tblGrid>
        <w:gridCol w:w="5429"/>
        <w:gridCol w:w="5429"/>
      </w:tblGrid>
      <w:tr>
        <w:tc>
          <w:tcPr>
            <w:tcW w:type="dxa" w:w="9360"/>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tcPr>
          <w:p>
            <w:r>
              <w:rPr>
                <w:color w:val="586270"/>
                <w:sz w:val="14"/>
              </w:rPr>
              <w:t>DEREXI: POLICY PILOT // FICTIONAL INCIDENT CASE STUDY // APT38</w:t>
            </w:r>
          </w:p>
        </w:tc>
        <w:tc>
          <w:tcPr>
            <w:tcW w:type="dxa" w:w="1872"/>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tcPr>
          <w:p>
            <w:pPr>
              <w:jc w:val="right"/>
            </w:pPr>
            <w:r>
              <w:rPr>
                <w:color w:val="586270"/>
                <w:sz w:val="14"/>
              </w:rPr>
              <w:t>// 1</w:t>
            </w:r>
          </w:p>
        </w:tc>
      </w:tr>
    </w:tbl>
    <w:p>
      <w:r>
        <w:br w:type="page"/>
      </w:r>
    </w:p>
    <w:tbl>
      <w:tblPr>
        <w:tblW w:type="auto" w:w="0"/>
        <w:jc w:val="center"/>
        <w:tblLayout w:type="fixed"/>
        <w:tblLook w:firstColumn="1" w:firstRow="1" w:lastColumn="0" w:lastRow="0" w:noHBand="0" w:noVBand="1" w:val="04A0"/>
      </w:tblPr>
      <w:tblGrid>
        <w:gridCol w:w="5429"/>
        <w:gridCol w:w="5429"/>
      </w:tblGrid>
      <w:tr>
        <w:tc>
          <w:tcPr>
            <w:tcW w:type="dxa" w:w="8784"/>
            <w:shd w:fill="0B1422"/>
            <w:tcBorders>
              <w:top w:val="nil" w:sz="0" w:color="0B1422"/>
              <w:left w:val="nil" w:sz="0" w:color="0B1422"/>
              <w:bottom w:val="nil" w:sz="0" w:color="0B1422"/>
              <w:right w:val="nil" w:sz="0" w:color="0B1422"/>
              <w:insideH w:val="nil" w:sz="0" w:color="0B1422"/>
              <w:insideV w:val="nil" w:sz="0" w:color="0B1422"/>
            </w:tcBorders>
            <w:tcMar>
              <w:top w:w="85" w:type="dxa"/>
              <w:start w:w="110" w:type="dxa"/>
              <w:bottom w:w="85" w:type="dxa"/>
              <w:end w:w="110" w:type="dxa"/>
            </w:tcMar>
          </w:tcPr>
          <w:p>
            <w:pPr>
              <w:spacing w:after="0"/>
            </w:pPr>
            <w:r>
              <w:rPr>
                <w:rFonts w:ascii="Arial" w:hAnsi="Arial"/>
                <w:b/>
                <w:color w:val="1BC5D8"/>
                <w:sz w:val="17"/>
              </w:rPr>
              <w:t>NETWORK SECURITY // MONITORING &amp; RESPONSE</w:t>
            </w:r>
          </w:p>
        </w:tc>
        <w:tc>
          <w:tcPr>
            <w:tcW w:type="dxa" w:w="2448"/>
            <w:shd w:fill="0B1422"/>
            <w:tcBorders>
              <w:top w:val="nil" w:sz="0" w:color="0B1422"/>
              <w:left w:val="nil" w:sz="0" w:color="0B1422"/>
              <w:bottom w:val="nil" w:sz="0" w:color="0B1422"/>
              <w:right w:val="nil" w:sz="0" w:color="0B1422"/>
              <w:insideH w:val="nil" w:sz="0" w:color="0B1422"/>
              <w:insideV w:val="nil" w:sz="0" w:color="0B1422"/>
            </w:tcBorders>
            <w:tcMar>
              <w:top w:w="85" w:type="dxa"/>
              <w:start w:w="110" w:type="dxa"/>
              <w:bottom w:w="85" w:type="dxa"/>
              <w:end w:w="110" w:type="dxa"/>
            </w:tcMar>
          </w:tcPr>
          <w:p>
            <w:pPr>
              <w:spacing w:after="0"/>
              <w:jc w:val="right"/>
            </w:pPr>
            <w:r>
              <w:rPr>
                <w:b/>
                <w:color w:val="FFFFFF"/>
                <w:sz w:val="17"/>
              </w:rPr>
              <w:t>DEREXI // #2</w:t>
            </w:r>
          </w:p>
        </w:tc>
      </w:tr>
    </w:tbl>
    <w:p>
      <w:pPr>
        <w:spacing w:after="0"/>
      </w:pPr>
    </w:p>
    <w:p>
      <w:pPr>
        <w:spacing w:before="100" w:after="20"/>
      </w:pPr>
      <w:r>
        <w:rPr>
          <w:b/>
          <w:color w:val="1BC5D8"/>
          <w:sz w:val="16"/>
        </w:rPr>
        <w:t xml:space="preserve">03 // </w:t>
      </w:r>
      <w:r>
        <w:rPr>
          <w:b/>
          <w:color w:val="1BC5D8"/>
          <w:sz w:val="16"/>
        </w:rPr>
        <w:t>RESPONSE WORKFLOW</w:t>
      </w:r>
    </w:p>
    <w:p>
      <w:pPr>
        <w:spacing w:after="80"/>
      </w:pPr>
      <w:r>
        <w:rPr>
          <w:b/>
          <w:color w:val="1B222C"/>
          <w:sz w:val="33"/>
        </w:rPr>
        <w:t>How DeRexi contains and responds</w:t>
      </w:r>
    </w:p>
    <w:tbl>
      <w:tblPr>
        <w:tblW w:type="auto" w:w="0"/>
        <w:tblLayout w:type="fixed"/>
        <w:tblLook w:firstColumn="1" w:firstRow="1" w:lastColumn="0" w:lastRow="0" w:noHBand="0" w:noVBand="1" w:val="04A0"/>
      </w:tblPr>
      <w:tblGrid>
        <w:gridCol w:w="5429"/>
        <w:gridCol w:w="5429"/>
      </w:tblGrid>
      <w:tr>
        <w:tc>
          <w:tcPr>
            <w:tcW w:type="dxa" w:w="2520"/>
            <w:shd w:fill="0B1422"/>
            <w:tcBorders>
              <w:top w:val="nil" w:sz="0" w:color="0B1422"/>
              <w:left w:val="nil" w:sz="0" w:color="0B1422"/>
              <w:bottom w:val="nil" w:sz="0" w:color="0B1422"/>
              <w:right w:val="nil" w:sz="0" w:color="0B1422"/>
              <w:insideH w:val="nil" w:sz="0" w:color="0B1422"/>
              <w:insideV w:val="nil" w:sz="0" w:color="0B1422"/>
            </w:tcBorders>
            <w:tcMar>
              <w:top w:w="58" w:type="dxa"/>
              <w:start w:w="75" w:type="dxa"/>
              <w:bottom w:w="58" w:type="dxa"/>
              <w:end w:w="75" w:type="dxa"/>
            </w:tcMar>
          </w:tcPr>
          <w:p>
            <w:r>
              <w:rPr>
                <w:b/>
                <w:color w:val="1BC5D8"/>
                <w:sz w:val="15"/>
              </w:rPr>
              <w:t>1  CONTAIN</w:t>
            </w:r>
          </w:p>
        </w:tc>
        <w:tc>
          <w:tcPr>
            <w:tcW w:type="dxa" w:w="8280"/>
            <w:shd w:fill="FFFFFF"/>
            <w:tcBorders>
              <w:top w:val="single" w:sz="4" w:color="D6DEE7"/>
              <w:left w:val="single" w:sz="4" w:color="D6DEE7"/>
              <w:bottom w:val="single" w:sz="4" w:color="D6DEE7"/>
              <w:right w:val="single" w:sz="4" w:color="D6DEE7"/>
              <w:insideH w:val="single" w:sz="4" w:color="D6DEE7"/>
              <w:insideV w:val="single" w:sz="4" w:color="D6DEE7"/>
            </w:tcBorders>
            <w:tcMar>
              <w:top w:w="58" w:type="dxa"/>
              <w:start w:w="80" w:type="dxa"/>
              <w:bottom w:w="58" w:type="dxa"/>
              <w:end w:w="80" w:type="dxa"/>
            </w:tcMar>
          </w:tcPr>
          <w:p>
            <w:pPr>
              <w:spacing w:after="0"/>
            </w:pPr>
            <w:r>
              <w:rPr>
                <w:color w:val="1B222C"/>
                <w:sz w:val="15"/>
              </w:rPr>
              <w:t>Isolate affected endpoints, disable suspected accounts, revoke active sessions and restrict administrative / client-facing access paths.</w:t>
            </w:r>
          </w:p>
        </w:tc>
      </w:tr>
    </w:tbl>
    <w:p>
      <w:pPr>
        <w:spacing w:after="0"/>
      </w:pPr>
    </w:p>
    <w:tbl>
      <w:tblPr>
        <w:tblW w:type="auto" w:w="0"/>
        <w:tblLayout w:type="fixed"/>
        <w:tblLook w:firstColumn="1" w:firstRow="1" w:lastColumn="0" w:lastRow="0" w:noHBand="0" w:noVBand="1" w:val="04A0"/>
      </w:tblPr>
      <w:tblGrid>
        <w:gridCol w:w="5429"/>
        <w:gridCol w:w="5429"/>
      </w:tblGrid>
      <w:tr>
        <w:tc>
          <w:tcPr>
            <w:tcW w:type="dxa" w:w="2520"/>
            <w:shd w:fill="0B1422"/>
            <w:tcBorders>
              <w:top w:val="nil" w:sz="0" w:color="0B1422"/>
              <w:left w:val="nil" w:sz="0" w:color="0B1422"/>
              <w:bottom w:val="nil" w:sz="0" w:color="0B1422"/>
              <w:right w:val="nil" w:sz="0" w:color="0B1422"/>
              <w:insideH w:val="nil" w:sz="0" w:color="0B1422"/>
              <w:insideV w:val="nil" w:sz="0" w:color="0B1422"/>
            </w:tcBorders>
            <w:tcMar>
              <w:top w:w="58" w:type="dxa"/>
              <w:start w:w="75" w:type="dxa"/>
              <w:bottom w:w="58" w:type="dxa"/>
              <w:end w:w="75" w:type="dxa"/>
            </w:tcMar>
          </w:tcPr>
          <w:p>
            <w:r>
              <w:rPr>
                <w:b/>
                <w:color w:val="1BC5D8"/>
                <w:sz w:val="15"/>
              </w:rPr>
              <w:t>2  PRESERVE EVIDENCE</w:t>
            </w:r>
          </w:p>
        </w:tc>
        <w:tc>
          <w:tcPr>
            <w:tcW w:type="dxa" w:w="8280"/>
            <w:shd w:fill="FFFFFF"/>
            <w:tcBorders>
              <w:top w:val="single" w:sz="4" w:color="D6DEE7"/>
              <w:left w:val="single" w:sz="4" w:color="D6DEE7"/>
              <w:bottom w:val="single" w:sz="4" w:color="D6DEE7"/>
              <w:right w:val="single" w:sz="4" w:color="D6DEE7"/>
              <w:insideH w:val="single" w:sz="4" w:color="D6DEE7"/>
              <w:insideV w:val="single" w:sz="4" w:color="D6DEE7"/>
            </w:tcBorders>
            <w:tcMar>
              <w:top w:w="58" w:type="dxa"/>
              <w:start w:w="80" w:type="dxa"/>
              <w:bottom w:w="58" w:type="dxa"/>
              <w:end w:w="80" w:type="dxa"/>
            </w:tcMar>
          </w:tcPr>
          <w:p>
            <w:pPr>
              <w:spacing w:after="0"/>
            </w:pPr>
            <w:r>
              <w:rPr>
                <w:color w:val="1B222C"/>
                <w:sz w:val="15"/>
              </w:rPr>
              <w:t>Centralize endpoint, identity, application and cloud logs so attacker deletion on one host does not erase the investigation trail.</w:t>
            </w:r>
          </w:p>
        </w:tc>
      </w:tr>
    </w:tbl>
    <w:p>
      <w:pPr>
        <w:spacing w:after="0"/>
      </w:pPr>
    </w:p>
    <w:tbl>
      <w:tblPr>
        <w:tblW w:type="auto" w:w="0"/>
        <w:tblLayout w:type="fixed"/>
        <w:tblLook w:firstColumn="1" w:firstRow="1" w:lastColumn="0" w:lastRow="0" w:noHBand="0" w:noVBand="1" w:val="04A0"/>
      </w:tblPr>
      <w:tblGrid>
        <w:gridCol w:w="5429"/>
        <w:gridCol w:w="5429"/>
      </w:tblGrid>
      <w:tr>
        <w:tc>
          <w:tcPr>
            <w:tcW w:type="dxa" w:w="2520"/>
            <w:shd w:fill="0B1422"/>
            <w:tcBorders>
              <w:top w:val="nil" w:sz="0" w:color="0B1422"/>
              <w:left w:val="nil" w:sz="0" w:color="0B1422"/>
              <w:bottom w:val="nil" w:sz="0" w:color="0B1422"/>
              <w:right w:val="nil" w:sz="0" w:color="0B1422"/>
              <w:insideH w:val="nil" w:sz="0" w:color="0B1422"/>
              <w:insideV w:val="nil" w:sz="0" w:color="0B1422"/>
            </w:tcBorders>
            <w:tcMar>
              <w:top w:w="58" w:type="dxa"/>
              <w:start w:w="75" w:type="dxa"/>
              <w:bottom w:w="58" w:type="dxa"/>
              <w:end w:w="75" w:type="dxa"/>
            </w:tcMar>
          </w:tcPr>
          <w:p>
            <w:r>
              <w:rPr>
                <w:b/>
                <w:color w:val="1BC5D8"/>
                <w:sz w:val="15"/>
              </w:rPr>
              <w:t>3  VALIDATE INTEGRITY</w:t>
            </w:r>
          </w:p>
        </w:tc>
        <w:tc>
          <w:tcPr>
            <w:tcW w:type="dxa" w:w="8280"/>
            <w:shd w:fill="FFFFFF"/>
            <w:tcBorders>
              <w:top w:val="single" w:sz="4" w:color="D6DEE7"/>
              <w:left w:val="single" w:sz="4" w:color="D6DEE7"/>
              <w:bottom w:val="single" w:sz="4" w:color="D6DEE7"/>
              <w:right w:val="single" w:sz="4" w:color="D6DEE7"/>
              <w:insideH w:val="single" w:sz="4" w:color="D6DEE7"/>
              <w:insideV w:val="single" w:sz="4" w:color="D6DEE7"/>
            </w:tcBorders>
            <w:tcMar>
              <w:top w:w="58" w:type="dxa"/>
              <w:start w:w="80" w:type="dxa"/>
              <w:bottom w:w="58" w:type="dxa"/>
              <w:end w:w="80" w:type="dxa"/>
            </w:tcMar>
          </w:tcPr>
          <w:p>
            <w:pPr>
              <w:spacing w:after="0"/>
            </w:pPr>
            <w:r>
              <w:rPr>
                <w:color w:val="1B222C"/>
                <w:sz w:val="15"/>
              </w:rPr>
              <w:t>Compare policy documents and versions against trusted hashes / version history to identify unauthorized policy changes.</w:t>
            </w:r>
          </w:p>
        </w:tc>
      </w:tr>
    </w:tbl>
    <w:p>
      <w:pPr>
        <w:spacing w:after="0"/>
      </w:pPr>
    </w:p>
    <w:tbl>
      <w:tblPr>
        <w:tblW w:type="auto" w:w="0"/>
        <w:tblLayout w:type="fixed"/>
        <w:tblLook w:firstColumn="1" w:firstRow="1" w:lastColumn="0" w:lastRow="0" w:noHBand="0" w:noVBand="1" w:val="04A0"/>
      </w:tblPr>
      <w:tblGrid>
        <w:gridCol w:w="5429"/>
        <w:gridCol w:w="5429"/>
      </w:tblGrid>
      <w:tr>
        <w:tc>
          <w:tcPr>
            <w:tcW w:type="dxa" w:w="2520"/>
            <w:shd w:fill="0B1422"/>
            <w:tcBorders>
              <w:top w:val="nil" w:sz="0" w:color="0B1422"/>
              <w:left w:val="nil" w:sz="0" w:color="0B1422"/>
              <w:bottom w:val="nil" w:sz="0" w:color="0B1422"/>
              <w:right w:val="nil" w:sz="0" w:color="0B1422"/>
              <w:insideH w:val="nil" w:sz="0" w:color="0B1422"/>
              <w:insideV w:val="nil" w:sz="0" w:color="0B1422"/>
            </w:tcBorders>
            <w:tcMar>
              <w:top w:w="58" w:type="dxa"/>
              <w:start w:w="75" w:type="dxa"/>
              <w:bottom w:w="58" w:type="dxa"/>
              <w:end w:w="75" w:type="dxa"/>
            </w:tcMar>
          </w:tcPr>
          <w:p>
            <w:r>
              <w:rPr>
                <w:b/>
                <w:color w:val="1BC5D8"/>
                <w:sz w:val="15"/>
              </w:rPr>
              <w:t>4  PROTECT PRIVILEGED ACCESS</w:t>
            </w:r>
          </w:p>
        </w:tc>
        <w:tc>
          <w:tcPr>
            <w:tcW w:type="dxa" w:w="8280"/>
            <w:shd w:fill="FFFFFF"/>
            <w:tcBorders>
              <w:top w:val="single" w:sz="4" w:color="D6DEE7"/>
              <w:left w:val="single" w:sz="4" w:color="D6DEE7"/>
              <w:bottom w:val="single" w:sz="4" w:color="D6DEE7"/>
              <w:right w:val="single" w:sz="4" w:color="D6DEE7"/>
              <w:insideH w:val="single" w:sz="4" w:color="D6DEE7"/>
              <w:insideV w:val="single" w:sz="4" w:color="D6DEE7"/>
            </w:tcBorders>
            <w:tcMar>
              <w:top w:w="58" w:type="dxa"/>
              <w:start w:w="80" w:type="dxa"/>
              <w:bottom w:w="58" w:type="dxa"/>
              <w:end w:w="80" w:type="dxa"/>
            </w:tcMar>
          </w:tcPr>
          <w:p>
            <w:pPr>
              <w:spacing w:after="0"/>
            </w:pPr>
            <w:r>
              <w:rPr>
                <w:color w:val="1B222C"/>
                <w:sz w:val="15"/>
              </w:rPr>
              <w:t>Require phishing-resistant MFA and separate administrative identities from ordinary user accounts.</w:t>
            </w:r>
          </w:p>
        </w:tc>
      </w:tr>
    </w:tbl>
    <w:p>
      <w:pPr>
        <w:spacing w:after="0"/>
      </w:pPr>
    </w:p>
    <w:tbl>
      <w:tblPr>
        <w:tblW w:type="auto" w:w="0"/>
        <w:tblLayout w:type="fixed"/>
        <w:tblLook w:firstColumn="1" w:firstRow="1" w:lastColumn="0" w:lastRow="0" w:noHBand="0" w:noVBand="1" w:val="04A0"/>
      </w:tblPr>
      <w:tblGrid>
        <w:gridCol w:w="5429"/>
        <w:gridCol w:w="5429"/>
      </w:tblGrid>
      <w:tr>
        <w:tc>
          <w:tcPr>
            <w:tcW w:type="dxa" w:w="2520"/>
            <w:shd w:fill="0B1422"/>
            <w:tcBorders>
              <w:top w:val="nil" w:sz="0" w:color="0B1422"/>
              <w:left w:val="nil" w:sz="0" w:color="0B1422"/>
              <w:bottom w:val="nil" w:sz="0" w:color="0B1422"/>
              <w:right w:val="nil" w:sz="0" w:color="0B1422"/>
              <w:insideH w:val="nil" w:sz="0" w:color="0B1422"/>
              <w:insideV w:val="nil" w:sz="0" w:color="0B1422"/>
            </w:tcBorders>
            <w:tcMar>
              <w:top w:w="58" w:type="dxa"/>
              <w:start w:w="75" w:type="dxa"/>
              <w:bottom w:w="58" w:type="dxa"/>
              <w:end w:w="75" w:type="dxa"/>
            </w:tcMar>
          </w:tcPr>
          <w:p>
            <w:r>
              <w:rPr>
                <w:b/>
                <w:color w:val="1BC5D8"/>
                <w:sz w:val="15"/>
              </w:rPr>
              <w:t>5  DETECT RELATED BEHAVIOR</w:t>
            </w:r>
          </w:p>
        </w:tc>
        <w:tc>
          <w:tcPr>
            <w:tcW w:type="dxa" w:w="8280"/>
            <w:shd w:fill="FFFFFF"/>
            <w:tcBorders>
              <w:top w:val="single" w:sz="4" w:color="D6DEE7"/>
              <w:left w:val="single" w:sz="4" w:color="D6DEE7"/>
              <w:bottom w:val="single" w:sz="4" w:color="D6DEE7"/>
              <w:right w:val="single" w:sz="4" w:color="D6DEE7"/>
              <w:insideH w:val="single" w:sz="4" w:color="D6DEE7"/>
              <w:insideV w:val="single" w:sz="4" w:color="D6DEE7"/>
            </w:tcBorders>
            <w:tcMar>
              <w:top w:w="58" w:type="dxa"/>
              <w:start w:w="80" w:type="dxa"/>
              <w:bottom w:w="58" w:type="dxa"/>
              <w:end w:w="80" w:type="dxa"/>
            </w:tcMar>
          </w:tcPr>
          <w:p>
            <w:pPr>
              <w:spacing w:after="0"/>
            </w:pPr>
            <w:r>
              <w:rPr>
                <w:color w:val="1B222C"/>
                <w:sz w:val="15"/>
              </w:rPr>
              <w:t>Alert on suspicious PowerShell, new services, repeated authentication attempts, unusual share enumeration, file deletion and timestamp anomalies.</w:t>
            </w:r>
          </w:p>
        </w:tc>
      </w:tr>
    </w:tbl>
    <w:p>
      <w:pPr>
        <w:spacing w:after="0"/>
      </w:pPr>
    </w:p>
    <w:tbl>
      <w:tblPr>
        <w:tblW w:type="auto" w:w="0"/>
        <w:tblLayout w:type="fixed"/>
        <w:tblLook w:firstColumn="1" w:firstRow="1" w:lastColumn="0" w:lastRow="0" w:noHBand="0" w:noVBand="1" w:val="04A0"/>
      </w:tblPr>
      <w:tblGrid>
        <w:gridCol w:w="5429"/>
        <w:gridCol w:w="5429"/>
      </w:tblGrid>
      <w:tr>
        <w:tc>
          <w:tcPr>
            <w:tcW w:type="dxa" w:w="2520"/>
            <w:shd w:fill="0B1422"/>
            <w:tcBorders>
              <w:top w:val="nil" w:sz="0" w:color="0B1422"/>
              <w:left w:val="nil" w:sz="0" w:color="0B1422"/>
              <w:bottom w:val="nil" w:sz="0" w:color="0B1422"/>
              <w:right w:val="nil" w:sz="0" w:color="0B1422"/>
              <w:insideH w:val="nil" w:sz="0" w:color="0B1422"/>
              <w:insideV w:val="nil" w:sz="0" w:color="0B1422"/>
            </w:tcBorders>
            <w:tcMar>
              <w:top w:w="58" w:type="dxa"/>
              <w:start w:w="75" w:type="dxa"/>
              <w:bottom w:w="58" w:type="dxa"/>
              <w:end w:w="75" w:type="dxa"/>
            </w:tcMar>
          </w:tcPr>
          <w:p>
            <w:r>
              <w:rPr>
                <w:b/>
                <w:color w:val="1BC5D8"/>
                <w:sz w:val="15"/>
              </w:rPr>
              <w:t>6  SEGMENT CLIENTS</w:t>
            </w:r>
          </w:p>
        </w:tc>
        <w:tc>
          <w:tcPr>
            <w:tcW w:type="dxa" w:w="8280"/>
            <w:shd w:fill="FFFFFF"/>
            <w:tcBorders>
              <w:top w:val="single" w:sz="4" w:color="D6DEE7"/>
              <w:left w:val="single" w:sz="4" w:color="D6DEE7"/>
              <w:bottom w:val="single" w:sz="4" w:color="D6DEE7"/>
              <w:right w:val="single" w:sz="4" w:color="D6DEE7"/>
              <w:insideH w:val="single" w:sz="4" w:color="D6DEE7"/>
              <w:insideV w:val="single" w:sz="4" w:color="D6DEE7"/>
            </w:tcBorders>
            <w:tcMar>
              <w:top w:w="58" w:type="dxa"/>
              <w:start w:w="80" w:type="dxa"/>
              <w:bottom w:w="58" w:type="dxa"/>
              <w:end w:w="80" w:type="dxa"/>
            </w:tcMar>
          </w:tcPr>
          <w:p>
            <w:pPr>
              <w:spacing w:after="0"/>
            </w:pPr>
            <w:r>
              <w:rPr>
                <w:color w:val="1B222C"/>
                <w:sz w:val="15"/>
              </w:rPr>
              <w:t>Maintain tenant and administrative boundaries so compromise of one employee or component cannot become unrestricted access to banking clients.</w:t>
            </w:r>
          </w:p>
        </w:tc>
      </w:tr>
    </w:tbl>
    <w:p>
      <w:pPr>
        <w:spacing w:after="0"/>
      </w:pPr>
    </w:p>
    <w:tbl>
      <w:tblPr>
        <w:tblW w:type="auto" w:w="0"/>
        <w:tblLayout w:type="fixed"/>
        <w:tblLook w:firstColumn="1" w:firstRow="1" w:lastColumn="0" w:lastRow="0" w:noHBand="0" w:noVBand="1" w:val="04A0"/>
      </w:tblPr>
      <w:tblGrid>
        <w:gridCol w:w="5429"/>
        <w:gridCol w:w="5429"/>
      </w:tblGrid>
      <w:tr>
        <w:tc>
          <w:tcPr>
            <w:tcW w:type="dxa" w:w="2520"/>
            <w:shd w:fill="0B1422"/>
            <w:tcBorders>
              <w:top w:val="nil" w:sz="0" w:color="0B1422"/>
              <w:left w:val="nil" w:sz="0" w:color="0B1422"/>
              <w:bottom w:val="nil" w:sz="0" w:color="0B1422"/>
              <w:right w:val="nil" w:sz="0" w:color="0B1422"/>
              <w:insideH w:val="nil" w:sz="0" w:color="0B1422"/>
              <w:insideV w:val="nil" w:sz="0" w:color="0B1422"/>
            </w:tcBorders>
            <w:tcMar>
              <w:top w:w="58" w:type="dxa"/>
              <w:start w:w="75" w:type="dxa"/>
              <w:bottom w:w="58" w:type="dxa"/>
              <w:end w:w="75" w:type="dxa"/>
            </w:tcMar>
          </w:tcPr>
          <w:p>
            <w:r>
              <w:rPr>
                <w:b/>
                <w:color w:val="1BC5D8"/>
                <w:sz w:val="15"/>
              </w:rPr>
              <w:t>7  ESCALATE &amp; COMMUNICATE</w:t>
            </w:r>
          </w:p>
        </w:tc>
        <w:tc>
          <w:tcPr>
            <w:tcW w:type="dxa" w:w="8280"/>
            <w:shd w:fill="FFFFFF"/>
            <w:tcBorders>
              <w:top w:val="single" w:sz="4" w:color="D6DEE7"/>
              <w:left w:val="single" w:sz="4" w:color="D6DEE7"/>
              <w:bottom w:val="single" w:sz="4" w:color="D6DEE7"/>
              <w:right w:val="single" w:sz="4" w:color="D6DEE7"/>
              <w:insideH w:val="single" w:sz="4" w:color="D6DEE7"/>
              <w:insideV w:val="single" w:sz="4" w:color="D6DEE7"/>
            </w:tcBorders>
            <w:tcMar>
              <w:top w:w="58" w:type="dxa"/>
              <w:start w:w="80" w:type="dxa"/>
              <w:bottom w:w="58" w:type="dxa"/>
              <w:end w:w="80" w:type="dxa"/>
            </w:tcMar>
          </w:tcPr>
          <w:p>
            <w:pPr>
              <w:spacing w:after="0"/>
            </w:pPr>
            <w:r>
              <w:rPr>
                <w:color w:val="1B222C"/>
                <w:sz w:val="15"/>
              </w:rPr>
              <w:t>Activate incident response, leadership, legal/compliance and banking-client communication procedures when regulated customers could be affected.</w:t>
            </w:r>
          </w:p>
        </w:tc>
      </w:tr>
    </w:tbl>
    <w:p>
      <w:pPr>
        <w:spacing w:after="0"/>
      </w:pPr>
    </w:p>
    <w:p>
      <w:pPr>
        <w:spacing w:before="100" w:after="20"/>
      </w:pPr>
      <w:r>
        <w:rPr>
          <w:b/>
          <w:color w:val="1BC5D8"/>
          <w:sz w:val="16"/>
        </w:rPr>
        <w:t xml:space="preserve">04 // </w:t>
      </w:r>
      <w:r>
        <w:rPr>
          <w:b/>
          <w:color w:val="1BC5D8"/>
          <w:sz w:val="16"/>
        </w:rPr>
        <w:t>SCREENSHOT / LOG EVIDENCE</w:t>
      </w:r>
    </w:p>
    <w:p>
      <w:pPr>
        <w:spacing w:after="80"/>
      </w:pPr>
      <w:r>
        <w:rPr>
          <w:b/>
          <w:color w:val="1B222C"/>
          <w:sz w:val="33"/>
        </w:rPr>
        <w:t>Simulated SOC monitoring snapshot</w:t>
      </w:r>
    </w:p>
    <w:tbl>
      <w:tblPr>
        <w:tblW w:type="auto" w:w="0"/>
        <w:tblLook w:firstColumn="1" w:firstRow="1" w:lastColumn="0" w:lastRow="0" w:noHBand="0" w:noVBand="1" w:val="04A0"/>
      </w:tblPr>
      <w:tblGrid>
        <w:gridCol w:w="10858"/>
      </w:tblGrid>
      <w:tr>
        <w:tc>
          <w:tcPr>
            <w:tcW w:type="dxa" w:w="10858"/>
            <w:shd w:fill="101923"/>
            <w:tcBorders>
              <w:top w:val="single" w:sz="6" w:color="27384B"/>
              <w:left w:val="single" w:sz="6" w:color="27384B"/>
              <w:bottom w:val="single" w:sz="6" w:color="27384B"/>
              <w:right w:val="single" w:sz="6" w:color="27384B"/>
              <w:insideH w:val="single" w:sz="6" w:color="27384B"/>
              <w:insideV w:val="single" w:sz="6" w:color="27384B"/>
            </w:tcBorders>
            <w:tcMar>
              <w:top w:w="100" w:type="dxa"/>
              <w:start w:w="120" w:type="dxa"/>
              <w:bottom w:w="100" w:type="dxa"/>
              <w:end w:w="120" w:type="dxa"/>
            </w:tcMar>
          </w:tcPr>
          <w:p>
            <w:pPr>
              <w:pStyle w:val="Console"/>
              <w:spacing w:after="20"/>
            </w:pPr>
            <w:r>
              <w:rPr>
                <w:rFonts w:ascii="Consolas" w:hAnsi="Consolas"/>
                <w:b/>
                <w:color w:val="1BC5D8"/>
                <w:sz w:val="16"/>
              </w:rPr>
              <w:t>SIMULATED SOC LOG SNAPSHOT - EDUCATIONAL EVIDENCE</w:t>
            </w:r>
          </w:p>
          <w:p>
            <w:pPr>
              <w:pStyle w:val="Console"/>
            </w:pPr>
            <w:r>
              <w:rPr>
                <w:rFonts w:ascii="Consolas" w:hAnsi="Consolas"/>
                <w:b w:val="0"/>
                <w:color w:val="E2ECF4"/>
                <w:sz w:val="14"/>
              </w:rPr>
              <w:t>08:47:12  EDR     HIGH     powershell.exe spawned after document open</w:t>
            </w:r>
          </w:p>
          <w:p>
            <w:pPr>
              <w:pStyle w:val="Console"/>
            </w:pPr>
            <w:r>
              <w:rPr>
                <w:rFonts w:ascii="Consolas" w:hAnsi="Consolas"/>
                <w:b w:val="0"/>
                <w:color w:val="E2ECF4"/>
                <w:sz w:val="14"/>
              </w:rPr>
              <w:t>09:03:41  EDR     HIGH     new Windows service created: unknown baseline</w:t>
            </w:r>
          </w:p>
          <w:p>
            <w:pPr>
              <w:pStyle w:val="Console"/>
            </w:pPr>
            <w:r>
              <w:rPr>
                <w:rFonts w:ascii="Consolas" w:hAnsi="Consolas"/>
                <w:b w:val="0"/>
                <w:color w:val="E2ECF4"/>
                <w:sz w:val="14"/>
              </w:rPr>
              <w:t>09:18:07  IAM     MEDIUM   repeated authentication attempts across internal accounts</w:t>
            </w:r>
          </w:p>
          <w:p>
            <w:pPr>
              <w:pStyle w:val="Console"/>
            </w:pPr>
            <w:r>
              <w:rPr>
                <w:rFonts w:ascii="Consolas" w:hAnsi="Consolas"/>
                <w:b w:val="0"/>
                <w:color w:val="E2ECF4"/>
                <w:sz w:val="14"/>
              </w:rPr>
              <w:t>09:31:26  NDR     MEDIUM   SMB/share enumeration from employee endpoint</w:t>
            </w:r>
          </w:p>
          <w:p>
            <w:pPr>
              <w:pStyle w:val="Console"/>
            </w:pPr>
            <w:r>
              <w:rPr>
                <w:rFonts w:ascii="Consolas" w:hAnsi="Consolas"/>
                <w:b w:val="0"/>
                <w:color w:val="E2ECF4"/>
                <w:sz w:val="14"/>
              </w:rPr>
              <w:t>09:46:55  EDR     MEDIUM   local files accessed and staged in temporary path</w:t>
            </w:r>
          </w:p>
          <w:p>
            <w:pPr>
              <w:pStyle w:val="Console"/>
            </w:pPr>
            <w:r>
              <w:rPr>
                <w:rFonts w:ascii="Consolas" w:hAnsi="Consolas"/>
                <w:b w:val="0"/>
                <w:color w:val="E2ECF4"/>
                <w:sz w:val="14"/>
              </w:rPr>
              <w:t>10:02:14  EDR     HIGH     artifact deletion + timestamp anomaly detected</w:t>
            </w:r>
          </w:p>
          <w:p>
            <w:pPr>
              <w:pStyle w:val="Console"/>
            </w:pPr>
            <w:r>
              <w:rPr>
                <w:rFonts w:ascii="Consolas" w:hAnsi="Consolas"/>
                <w:b w:val="0"/>
                <w:color w:val="FFCE60"/>
                <w:sz w:val="14"/>
              </w:rPr>
              <w:t>10:09:03  SOC     CRITICAL correlated alerts -&gt; suspected compromise declared</w:t>
            </w:r>
          </w:p>
          <w:p>
            <w:pPr>
              <w:pStyle w:val="Console"/>
            </w:pPr>
            <w:r>
              <w:rPr>
                <w:rFonts w:ascii="Consolas" w:hAnsi="Consolas"/>
                <w:b w:val="0"/>
                <w:color w:val="84E4A9"/>
                <w:sz w:val="14"/>
              </w:rPr>
              <w:t>10:16:22  IR      ACTION   endpoint isolated | sessions revoked | account disabled</w:t>
            </w:r>
          </w:p>
        </w:tc>
      </w:tr>
    </w:tbl>
    <w:tbl>
      <w:tblPr>
        <w:tblW w:type="auto" w:w="0"/>
        <w:tblLook w:firstColumn="1" w:firstRow="1" w:lastColumn="0" w:lastRow="0" w:noHBand="0" w:noVBand="1" w:val="04A0"/>
      </w:tblPr>
      <w:tblGrid>
        <w:gridCol w:w="10858"/>
      </w:tblGrid>
      <w:tr>
        <w:tc>
          <w:tcPr>
            <w:tcW w:type="dxa" w:w="10858"/>
            <w:shd w:fill="F4FAFC"/>
            <w:tcBorders>
              <w:top w:val="single" w:sz="7" w:color="78CDD6"/>
              <w:left w:val="single" w:sz="7" w:color="78CDD6"/>
              <w:bottom w:val="single" w:sz="7" w:color="78CDD6"/>
              <w:right w:val="single" w:sz="7" w:color="78CDD6"/>
              <w:insideH w:val="single" w:sz="7" w:color="78CDD6"/>
              <w:insideV w:val="single" w:sz="7" w:color="78CDD6"/>
            </w:tcBorders>
            <w:tcMar>
              <w:top w:w="90" w:type="dxa"/>
              <w:start w:w="115" w:type="dxa"/>
              <w:bottom w:w="90" w:type="dxa"/>
              <w:end w:w="115" w:type="dxa"/>
            </w:tcMar>
          </w:tcPr>
          <w:p>
            <w:pPr>
              <w:spacing w:after="40"/>
            </w:pPr>
            <w:r>
              <w:rPr>
                <w:b/>
                <w:color w:val="AE8925"/>
                <w:sz w:val="16"/>
              </w:rPr>
              <w:t xml:space="preserve">EVIDENCE NOTE  </w:t>
            </w:r>
            <w:r>
              <w:rPr>
                <w:color w:val="1B222C"/>
                <w:sz w:val="17"/>
              </w:rPr>
              <w:t>The log snapshot above is a simulated visual created from the incident timeline already documented in the DeRexi APT38 case study. It is included to demonstrate how monitoring evidence could be presented for this educational assignment; it is not a screenshot from a live production SOC.</w:t>
            </w:r>
          </w:p>
        </w:tc>
      </w:tr>
    </w:tbl>
    <w:p>
      <w:pPr>
        <w:spacing w:after="0"/>
      </w:pPr>
    </w:p>
    <w:p>
      <w:pPr>
        <w:spacing w:before="100" w:after="20"/>
      </w:pPr>
      <w:r>
        <w:rPr>
          <w:b/>
          <w:color w:val="1BC5D8"/>
          <w:sz w:val="16"/>
        </w:rPr>
        <w:t xml:space="preserve">05 // </w:t>
      </w:r>
      <w:r>
        <w:rPr>
          <w:b/>
          <w:color w:val="1BC5D8"/>
          <w:sz w:val="16"/>
        </w:rPr>
        <w:t>OUTCOME &amp; CONCLUSION</w:t>
      </w:r>
    </w:p>
    <w:p>
      <w:pPr>
        <w:spacing w:after="60"/>
      </w:pPr>
      <w:r>
        <w:rPr>
          <w:rFonts w:ascii="Arial" w:hAnsi="Arial"/>
          <w:b w:val="0"/>
          <w:color w:val="1B222C"/>
          <w:sz w:val="17"/>
        </w:rPr>
        <w:t>For this case study, DeRexi contains the intrusion before investigators find evidence of a successful compromise of a client banking environment. The incident is nevertheless treated as a potential supply-chain event until forensic review is complete. The monitoring process demonstrates how endpoint, identity and network signals become more meaningful when correlated, and the response sequence shows how detection must lead quickly to containment, evidence preservation, access control and recovery actions.</w:t>
      </w:r>
    </w:p>
    <w:p>
      <w:pPr>
        <w:spacing w:after="0"/>
      </w:pPr>
      <w:r>
        <w:rPr>
          <w:rFonts w:ascii="Arial" w:hAnsi="Arial"/>
          <w:b w:val="0"/>
          <w:color w:val="586270"/>
          <w:sz w:val="15"/>
        </w:rPr>
        <w:t>Academic disclosure: all events involving DeRexi are fictional and were created for the assignment. The APT38 / BeagleBoyz behaviors used to structure the scenario come from the previously prepared MITRE ATT&amp;CK / CISA-based case study.</w:t>
      </w:r>
    </w:p>
    <w:p>
      <w:pPr>
        <w:spacing w:before="80" w:after="20"/>
        <w:pBdr>
          <w:top w:val="single" w:sz="5" w:space="3" w:color="D8E0E8"/>
        </w:pBdr>
      </w:pPr>
    </w:p>
    <w:tbl>
      <w:tblPr>
        <w:tblW w:type="auto" w:w="0"/>
        <w:tblLayout w:type="fixed"/>
        <w:tblLook w:firstColumn="1" w:firstRow="1" w:lastColumn="0" w:lastRow="0" w:noHBand="0" w:noVBand="1" w:val="04A0"/>
      </w:tblPr>
      <w:tblGrid>
        <w:gridCol w:w="5429"/>
        <w:gridCol w:w="5429"/>
      </w:tblGrid>
      <w:tr>
        <w:tc>
          <w:tcPr>
            <w:tcW w:type="dxa" w:w="9360"/>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tcPr>
          <w:p>
            <w:r>
              <w:rPr>
                <w:color w:val="586270"/>
                <w:sz w:val="14"/>
              </w:rPr>
              <w:t>DEREXI: POLICY PILOT // FICTIONAL INCIDENT CASE STUDY // APT38</w:t>
            </w:r>
          </w:p>
        </w:tc>
        <w:tc>
          <w:tcPr>
            <w:tcW w:type="dxa" w:w="1872"/>
            <w:tcBorders>
              <w:top w:val="nil" w:sz="0" w:color="FFFFFF"/>
              <w:left w:val="nil" w:sz="0" w:color="FFFFFF"/>
              <w:bottom w:val="nil" w:sz="0" w:color="FFFFFF"/>
              <w:right w:val="nil" w:sz="0" w:color="FFFFFF"/>
              <w:insideH w:val="nil" w:sz="0" w:color="FFFFFF"/>
              <w:insideV w:val="nil" w:sz="0" w:color="FFFFFF"/>
            </w:tcBorders>
            <w:tcMar>
              <w:top w:w="0" w:type="dxa"/>
              <w:start w:w="0" w:type="dxa"/>
              <w:bottom w:w="0" w:type="dxa"/>
              <w:end w:w="0" w:type="dxa"/>
            </w:tcMar>
          </w:tcPr>
          <w:p>
            <w:pPr>
              <w:jc w:val="right"/>
            </w:pPr>
            <w:r>
              <w:rPr>
                <w:color w:val="586270"/>
                <w:sz w:val="14"/>
              </w:rPr>
              <w:t>// 2</w:t>
            </w:r>
          </w:p>
        </w:tc>
      </w:tr>
    </w:tbl>
    <w:sectPr w:rsidR="00FC693F" w:rsidRPr="0006063C" w:rsidSect="00034616">
      <w:pgSz w:w="12240" w:h="15840"/>
      <w:pgMar w:top="490" w:right="691" w:bottom="518"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1B222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22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222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222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sole">
    <w:name w:val="Console"/>
    <w:pPr>
      <w:spacing w:after="0" w:line="240" w:lineRule="auto"/>
    </w:pPr>
    <w:rPr>
      <w:rFonts w:ascii="Consolas" w:hAnsi="Consolas"/>
      <w:color w:val="E2ECF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