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COMPLIANCE 1  /  ASSIGNMENT 1</w:t>
      </w:r>
    </w:p>
    <w:p>
      <w:pPr>
        <w:pStyle w:val="Title"/>
      </w:pPr>
      <w:r>
        <w:t>Compliance Requirements Analysis</w:t>
      </w:r>
    </w:p>
    <w:p>
      <w:pPr>
        <w:pStyle w:val="Subtitle"/>
      </w:pPr>
      <w:r>
        <w:t>DeRexi  •  Financial-services readiness  •  October 20, 2026</w:t>
      </w:r>
    </w:p>
    <w:p>
      <w:pPr>
        <w:pStyle w:val="Heading1"/>
      </w:pPr>
      <w:r>
        <w:t>1  Business overview and scope</w:t>
      </w:r>
    </w:p>
    <w:p>
      <w:r>
        <w:t>DeRexi is a policy-governance assistant being developed for organizational use. It helps employees locate and understand policies, submit clarification requests, contact policy owners, exchange in-app messages, and initiate incident-assistance workflows. The target industry for this assessment is financial services; Orange Capital Bank is a fictional demonstration client.</w:t>
      </w:r>
    </w:p>
    <w:p>
      <w:r>
        <w:t>Assessment boundary: DeRexi application features, user information, policy documents, employee questions, messages, administrative actions, and supporting storage/services. This is a planning-stage gap assessment, not a legal compliance certification.</w:t>
      </w:r>
    </w:p>
    <w:p>
      <w:pPr>
        <w:pStyle w:val="Heading1"/>
      </w:pPr>
      <w:r>
        <w:t>2  Regulatory and framework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EEE3E3"/>
          </w:tcPr>
          <w:p>
            <w:pPr>
              <w:spacing w:after="40"/>
            </w:pPr>
            <w:r>
              <w:rPr>
                <w:sz w:val="14"/>
              </w:rPr>
              <w:t>Layer / source</w:t>
            </w:r>
          </w:p>
        </w:tc>
        <w:tc>
          <w:tcPr>
            <w:tcW w:type="dxa" w:w="3331"/>
            <w:shd w:fill="EEE3E3"/>
          </w:tcPr>
          <w:p>
            <w:pPr>
              <w:spacing w:after="40"/>
            </w:pPr>
            <w:r>
              <w:rPr>
                <w:sz w:val="14"/>
              </w:rPr>
              <w:t>What it means</w:t>
            </w:r>
          </w:p>
        </w:tc>
        <w:tc>
          <w:tcPr>
            <w:tcW w:type="dxa" w:w="3331"/>
            <w:shd w:fill="EEE3E3"/>
          </w:tcPr>
          <w:p>
            <w:pPr>
              <w:spacing w:after="40"/>
            </w:pPr>
            <w:r>
              <w:rPr>
                <w:sz w:val="14"/>
              </w:rPr>
              <w:t>DeRexi design implication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Legal applicability: GLBA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Financial privacy and safeguarding law; whether DeRexi itself is directly covered depends on its activities and regulatory status. Client contracts may impose service-provider duties.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Classify customer data; minimize collection; protect data access, transfer, storage, and disposal.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Industry examination guidance: FFIEC IT Handbook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Guidance used in examining technology governance, development, operations, and service-provider risk; not a standalone certification.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Document SDLC, change controls, access management, logging, vendor dependencies, and incident workflow.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Security management: NIST CSF 2.0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Voluntary cybersecurity framework: Govern, Identify, Protect, Detect, Respond, Recover.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Use the six functions to structure security reviews, testing, monitoring, and corrective actions.</w:t>
            </w:r>
          </w:p>
        </w:tc>
      </w:tr>
    </w:tbl>
    <w:p>
      <w:pPr>
        <w:pStyle w:val="Heading1"/>
      </w:pPr>
      <w:r>
        <w:t>3  Business process map (target workflow)</w:t>
      </w:r>
    </w:p>
    <w:p>
      <w:r>
        <w:t>Employee request → Identity/role check → Policy search and AI response → Feedback or clarification → Policy-owner review / in-app message → Resolution and audit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EEE3E3"/>
          </w:tcPr>
          <w:p>
            <w:pPr>
              <w:spacing w:after="40"/>
            </w:pPr>
            <w:r>
              <w:rPr>
                <w:sz w:val="14"/>
              </w:rPr>
              <w:t>Process step</w:t>
            </w:r>
          </w:p>
        </w:tc>
        <w:tc>
          <w:tcPr>
            <w:tcW w:type="dxa" w:w="3331"/>
            <w:shd w:fill="EEE3E3"/>
          </w:tcPr>
          <w:p>
            <w:pPr>
              <w:spacing w:after="40"/>
            </w:pPr>
            <w:r>
              <w:rPr>
                <w:sz w:val="14"/>
              </w:rPr>
              <w:t>Business activity</w:t>
            </w:r>
          </w:p>
        </w:tc>
        <w:tc>
          <w:tcPr>
            <w:tcW w:type="dxa" w:w="3331"/>
            <w:shd w:fill="EEE3E3"/>
          </w:tcPr>
          <w:p>
            <w:pPr>
              <w:spacing w:after="40"/>
            </w:pPr>
            <w:r>
              <w:rPr>
                <w:sz w:val="14"/>
              </w:rPr>
              <w:t>Security/compliance checkpoint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1. Access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Employee opens DeRexi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Authenticate user; enforce authorized roles (GLBA safeguard concept / NIST Protect).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2. Intake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Employee submits a policy question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Validate and limit input; avoid unnecessary sensitive data (NIST Protect; FFIEC development practices).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3. Answer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Application retrieves policy and produces guidance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Apply document permissions; show source references; handle no-match safely (NIST Protect / Govern).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4. Escalate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Employee asks for clarification or reports concern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Route only to appropriate owner; preserve confidentiality (FFIEC operational risk / NIST Respond).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5. Close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Owner responds; system records action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4"/>
              </w:rPr>
              <w:t>Maintain trustworthy records, review incidents and improve controls (NIST Detect / Respond / Recover).</w:t>
            </w:r>
          </w:p>
        </w:tc>
      </w:tr>
    </w:tbl>
    <w:p>
      <w:pPr>
        <w:pStyle w:val="Heading1"/>
      </w:pPr>
      <w:r>
        <w:t>4  Compliance requirements and gap analysis</w:t>
      </w:r>
    </w:p>
    <w:p>
      <w:r>
        <w:t>Status key: Present = capability reported in the project; Partial = exists but security assurance is unverified; Planned = additional implementation or evidence needed.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EEE3E3"/>
          </w:tcPr>
          <w:p>
            <w:pPr>
              <w:spacing w:after="40"/>
            </w:pPr>
            <w:r>
              <w:rPr>
                <w:sz w:val="14"/>
              </w:rPr>
              <w:t>ID / priority</w:t>
            </w:r>
          </w:p>
        </w:tc>
        <w:tc>
          <w:tcPr>
            <w:tcW w:type="dxa" w:w="2498"/>
            <w:shd w:fill="EEE3E3"/>
          </w:tcPr>
          <w:p>
            <w:pPr>
              <w:spacing w:after="40"/>
            </w:pPr>
            <w:r>
              <w:rPr>
                <w:sz w:val="14"/>
              </w:rPr>
              <w:t>Requirement and framework link</w:t>
            </w:r>
          </w:p>
        </w:tc>
        <w:tc>
          <w:tcPr>
            <w:tcW w:type="dxa" w:w="2498"/>
            <w:shd w:fill="EEE3E3"/>
          </w:tcPr>
          <w:p>
            <w:pPr>
              <w:spacing w:after="40"/>
            </w:pPr>
            <w:r>
              <w:rPr>
                <w:sz w:val="14"/>
              </w:rPr>
              <w:t>Current evidence / status</w:t>
            </w:r>
          </w:p>
        </w:tc>
        <w:tc>
          <w:tcPr>
            <w:tcW w:type="dxa" w:w="2498"/>
            <w:shd w:fill="EEE3E3"/>
          </w:tcPr>
          <w:p>
            <w:pPr>
              <w:spacing w:after="40"/>
            </w:pPr>
            <w:r>
              <w:rPr>
                <w:sz w:val="14"/>
              </w:rPr>
              <w:t>Next action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R1 / High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Role-based access to policies, messages, and owner functions • GLBA-aligned safeguards / NIST PR.AA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Partial: roles/personas exist; enforcement not verified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Test employee, owner, and admin permissions; capture access-denied results.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R2 / High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Protect sensitive stored and transmitted data • GLBA safeguards / NIST PR.DS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Planned: HTTPS and encryption evidence not established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Document TLS deployment, secret management, data classification, and retention.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R3 / High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Validate all user-supplied input • FFIEC DA&amp;M / NIST Protect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Partial: prior SSD testing showed HTTP 422 rejection; user-facing error needs improvement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Test questions/messages and display a plain-language error while logging safely.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R4 / Medium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Trace policy changes, clarifications, and messages • FFIEC / NIST Govern, Detect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Partial: policy/version and messaging features discussed; audit completeness unverified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Define logged events, actors, timestamps, retention, and admin review.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R5 / High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Incident intake and escalation • FFIEC operations / NIST Respond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Partial: incident assistance underway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Test escalation paths and document response ownership and notifications.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R6 / Medium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Secure change and supplier management • FFIEC DA&amp;M / NIST Govern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Planned: GitHub workflow exists; formal control evidence missing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4"/>
              </w:rPr>
              <w:t>Maintain code review/test checklist and inventory OpenRouter, Supabase, and hosting risks.</w:t>
            </w:r>
          </w:p>
        </w:tc>
      </w:tr>
    </w:tbl>
    <w:p>
      <w:pPr>
        <w:pStyle w:val="Heading1"/>
      </w:pPr>
      <w:r>
        <w:t>5  Recommended evidence and next steps</w:t>
      </w:r>
    </w:p>
    <w:p>
      <w:r>
        <w:t>First, verify user authorization and input-validation behavior. Next, capture screenshots or test logs for rejected access, accepted/rejected questions, message routing, and incident escalation. Then document the hosting/HTTPS design, service providers, retention approach, and change-control workflow. Mark a requirement “verified” only after repeatable evidence exists.</w:t>
      </w:r>
    </w:p>
    <w:p>
      <w:r>
        <w:t>Important limitation: GLBA duties vary by entity and supervisory authority. A financial institution must determine which rules apply to its own operations; DeRexi should support those requirements through technical and contractual controls.</w:t>
      </w:r>
    </w:p>
    <w:p>
      <w:pPr>
        <w:pStyle w:val="Heading1"/>
      </w:pPr>
      <w:r>
        <w:t>Official reference sources</w:t>
      </w:r>
    </w:p>
    <w:p>
      <w:pPr>
        <w:spacing w:after="40"/>
      </w:pPr>
      <w:r>
        <w:t>FTC — Gramm-Leach-Bliley Act: https://www.ftc.gov/business-guidance/privacy-security/gramm-leach-bliley-act</w:t>
      </w:r>
    </w:p>
    <w:p>
      <w:pPr>
        <w:spacing w:after="40"/>
      </w:pPr>
      <w:r>
        <w:t>FTC — Safeguards Rule overview: https://www.ftc.gov/business-guidance/resources/ftc-safeguards-rule-what-your-business-needs-know</w:t>
      </w:r>
    </w:p>
    <w:p>
      <w:pPr>
        <w:spacing w:after="40"/>
      </w:pPr>
      <w:r>
        <w:t>FFIEC — IT Examination Handbook (Development, Acquisition, and Maintenance): https://ithandbook.ffiec.gov/it-booklets</w:t>
      </w:r>
    </w:p>
    <w:p>
      <w:pPr>
        <w:spacing w:after="40"/>
      </w:pPr>
      <w:r>
        <w:t>NIST — Cybersecurity Framework 2.0: https://nvlpubs.nist.gov/nistpubs/CSWP/NIST.CSWP.29.pdf</w:t>
      </w:r>
    </w:p>
    <w:p>
      <w:r>
        <w:br w:type="page"/>
      </w:r>
    </w:p>
    <w:p>
      <w:pPr>
        <w:pStyle w:val="Heading1"/>
      </w:pPr>
      <w:r>
        <w:t>6  Basic compliance program plan</w:t>
      </w:r>
    </w:p>
    <w:p>
      <w:r>
        <w:t>Objective: establish a repeatable process to identify applicable obligations, protect client policy information, verify security safeguards, record evidence, and improve gaps before a financial-institution deployment. This is a proposed program, not an assertion of existing certification.</w:t>
      </w:r>
    </w:p>
    <w:p>
      <w:pPr>
        <w:pStyle w:val="Heading2"/>
      </w:pPr>
      <w:r>
        <w:t>Organizational roles and responsibilities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Proposed role</w:t>
            </w:r>
          </w:p>
        </w:tc>
        <w:tc>
          <w:tcPr>
            <w:tcW w:type="dxa" w:w="3331"/>
          </w:tcPr>
          <w:p>
            <w:r>
              <w:t>Primary responsibility</w:t>
            </w:r>
          </w:p>
        </w:tc>
        <w:tc>
          <w:tcPr>
            <w:tcW w:type="dxa" w:w="3331"/>
          </w:tcPr>
          <w:p>
            <w:r>
              <w:t>Evidence / deliverable</w:t>
            </w:r>
          </w:p>
        </w:tc>
      </w:tr>
      <w:tr>
        <w:tc>
          <w:tcPr>
            <w:tcW w:type="dxa" w:w="3331"/>
          </w:tcPr>
          <w:p>
            <w:r>
              <w:t>Product / business owner</w:t>
            </w:r>
          </w:p>
        </w:tc>
        <w:tc>
          <w:tcPr>
            <w:tcW w:type="dxa" w:w="3331"/>
          </w:tcPr>
          <w:p>
            <w:r>
              <w:t>Approve scope, risk decisions, budget, client commitments and launch gates.</w:t>
            </w:r>
          </w:p>
        </w:tc>
        <w:tc>
          <w:tcPr>
            <w:tcW w:type="dxa" w:w="3331"/>
          </w:tcPr>
          <w:p>
            <w:r>
              <w:t>Approved scope and risk register</w:t>
            </w:r>
          </w:p>
        </w:tc>
      </w:tr>
      <w:tr>
        <w:tc>
          <w:tcPr>
            <w:tcW w:type="dxa" w:w="3331"/>
          </w:tcPr>
          <w:p>
            <w:r>
              <w:t>Compliance lead (role; may be shared in MVP)</w:t>
            </w:r>
          </w:p>
        </w:tc>
        <w:tc>
          <w:tcPr>
            <w:tcW w:type="dxa" w:w="3331"/>
          </w:tcPr>
          <w:p>
            <w:r>
              <w:t>Maintain GLBA applicability review, FFIEC/NIST crosswalk, requirements and policy review cycle.</w:t>
            </w:r>
          </w:p>
        </w:tc>
        <w:tc>
          <w:tcPr>
            <w:tcW w:type="dxa" w:w="3331"/>
          </w:tcPr>
          <w:p>
            <w:r>
              <w:t>Control register and review log</w:t>
            </w:r>
          </w:p>
        </w:tc>
      </w:tr>
      <w:tr>
        <w:tc>
          <w:tcPr>
            <w:tcW w:type="dxa" w:w="3331"/>
          </w:tcPr>
          <w:p>
            <w:r>
              <w:t>Security / technical lead</w:t>
            </w:r>
          </w:p>
        </w:tc>
        <w:tc>
          <w:tcPr>
            <w:tcW w:type="dxa" w:w="3331"/>
          </w:tcPr>
          <w:p>
            <w:r>
              <w:t>Implement safeguards, manage access and vulnerabilities, verify encryption and logging.</w:t>
            </w:r>
          </w:p>
        </w:tc>
        <w:tc>
          <w:tcPr>
            <w:tcW w:type="dxa" w:w="3331"/>
          </w:tcPr>
          <w:p>
            <w:r>
              <w:t>Configurations and security test results</w:t>
            </w:r>
          </w:p>
        </w:tc>
      </w:tr>
      <w:tr>
        <w:tc>
          <w:tcPr>
            <w:tcW w:type="dxa" w:w="3331"/>
          </w:tcPr>
          <w:p>
            <w:r>
              <w:t>Policy owner / data steward</w:t>
            </w:r>
          </w:p>
        </w:tc>
        <w:tc>
          <w:tcPr>
            <w:tcW w:type="dxa" w:w="3331"/>
          </w:tcPr>
          <w:p>
            <w:r>
              <w:t>Approve policy content, classify documents and resolve clarification requests.</w:t>
            </w:r>
          </w:p>
        </w:tc>
        <w:tc>
          <w:tcPr>
            <w:tcW w:type="dxa" w:w="3331"/>
          </w:tcPr>
          <w:p>
            <w:r>
              <w:t>Approval history and content change log</w:t>
            </w:r>
          </w:p>
        </w:tc>
      </w:tr>
      <w:tr>
        <w:tc>
          <w:tcPr>
            <w:tcW w:type="dxa" w:w="3331"/>
          </w:tcPr>
          <w:p>
            <w:r>
              <w:t>Application administrator</w:t>
            </w:r>
          </w:p>
        </w:tc>
        <w:tc>
          <w:tcPr>
            <w:tcW w:type="dxa" w:w="3331"/>
          </w:tcPr>
          <w:p>
            <w:r>
              <w:t>Provision/deprovision users, assign roles and review access and incident alerts.</w:t>
            </w:r>
          </w:p>
        </w:tc>
        <w:tc>
          <w:tcPr>
            <w:tcW w:type="dxa" w:w="3331"/>
          </w:tcPr>
          <w:p>
            <w:r>
              <w:t>Access-review records and incident log</w:t>
            </w:r>
          </w:p>
        </w:tc>
      </w:tr>
      <w:tr>
        <w:tc>
          <w:tcPr>
            <w:tcW w:type="dxa" w:w="3331"/>
          </w:tcPr>
          <w:p>
            <w:r>
              <w:t>Independent reviewer / tester</w:t>
            </w:r>
          </w:p>
        </w:tc>
        <w:tc>
          <w:tcPr>
            <w:tcW w:type="dxa" w:w="3331"/>
          </w:tcPr>
          <w:p>
            <w:r>
              <w:t>Test controls and document failures and corrective actions; role should be separated when feasible.</w:t>
            </w:r>
          </w:p>
        </w:tc>
        <w:tc>
          <w:tcPr>
            <w:tcW w:type="dxa" w:w="3331"/>
          </w:tcPr>
          <w:p>
            <w:r>
              <w:t>Signed test report and remediation tickets</w:t>
            </w:r>
          </w:p>
        </w:tc>
      </w:tr>
    </w:tbl>
    <w:p>
      <w:r>
        <w:t>For the capstone, one developer may perform several roles. Document who performed each activity; separate review or test approval where feasible. Orange Capital Bank remains an illustrative client, not a verified deployment.</w:t>
      </w:r>
    </w:p>
    <w:p>
      <w:pPr>
        <w:pStyle w:val="Heading2"/>
      </w:pPr>
      <w:r>
        <w:t>Proposed implementation timeline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Phase</w:t>
            </w:r>
          </w:p>
        </w:tc>
        <w:tc>
          <w:tcPr>
            <w:tcW w:type="dxa" w:w="3331"/>
          </w:tcPr>
          <w:p>
            <w:r>
              <w:t>Work to complete</w:t>
            </w:r>
          </w:p>
        </w:tc>
        <w:tc>
          <w:tcPr>
            <w:tcW w:type="dxa" w:w="3331"/>
          </w:tcPr>
          <w:p>
            <w:r>
              <w:t>Exit evidence</w:t>
            </w:r>
          </w:p>
        </w:tc>
      </w:tr>
      <w:tr>
        <w:tc>
          <w:tcPr>
            <w:tcW w:type="dxa" w:w="3331"/>
          </w:tcPr>
          <w:p>
            <w:r>
              <w:t>Week 1 — Scope &amp; assess</w:t>
            </w:r>
          </w:p>
        </w:tc>
        <w:tc>
          <w:tcPr>
            <w:tcW w:type="dxa" w:w="3331"/>
          </w:tcPr>
          <w:p>
            <w:r>
              <w:t>Confirm regulated-client use cases, data inventory and GLBA applicability assumptions; map FFIEC and NIST expectations.</w:t>
            </w:r>
          </w:p>
        </w:tc>
        <w:tc>
          <w:tcPr>
            <w:tcW w:type="dxa" w:w="3331"/>
          </w:tcPr>
          <w:p>
            <w:r>
              <w:t>Approved scope, requirement register, process map</w:t>
            </w:r>
          </w:p>
        </w:tc>
      </w:tr>
      <w:tr>
        <w:tc>
          <w:tcPr>
            <w:tcW w:type="dxa" w:w="3331"/>
          </w:tcPr>
          <w:p>
            <w:r>
              <w:t>Week 2 — Design controls</w:t>
            </w:r>
          </w:p>
        </w:tc>
        <w:tc>
          <w:tcPr>
            <w:tcW w:type="dxa" w:w="3331"/>
          </w:tcPr>
          <w:p>
            <w:r>
              <w:t>Define role permissions, question validation rules, audit events and security acceptance criteria.</w:t>
            </w:r>
          </w:p>
        </w:tc>
        <w:tc>
          <w:tcPr>
            <w:tcW w:type="dxa" w:w="3331"/>
          </w:tcPr>
          <w:p>
            <w:r>
              <w:t>Control specifications and test cases</w:t>
            </w:r>
          </w:p>
        </w:tc>
      </w:tr>
      <w:tr>
        <w:tc>
          <w:tcPr>
            <w:tcW w:type="dxa" w:w="3331"/>
          </w:tcPr>
          <w:p>
            <w:r>
              <w:t>Weeks 3–4 — Implement</w:t>
            </w:r>
          </w:p>
        </w:tc>
        <w:tc>
          <w:tcPr>
            <w:tcW w:type="dxa" w:w="3331"/>
          </w:tcPr>
          <w:p>
            <w:r>
              <w:t>Enforce server-side authorization and input validation; improve friendly errors and audit capture.</w:t>
            </w:r>
          </w:p>
        </w:tc>
        <w:tc>
          <w:tcPr>
            <w:tcW w:type="dxa" w:w="3331"/>
          </w:tcPr>
          <w:p>
            <w:r>
              <w:t>Code changes, configuration and test environment</w:t>
            </w:r>
          </w:p>
        </w:tc>
      </w:tr>
      <w:tr>
        <w:tc>
          <w:tcPr>
            <w:tcW w:type="dxa" w:w="3331"/>
          </w:tcPr>
          <w:p>
            <w:r>
              <w:t>Week 5 — Verify &amp; remediate</w:t>
            </w:r>
          </w:p>
        </w:tc>
        <w:tc>
          <w:tcPr>
            <w:tcW w:type="dxa" w:w="3331"/>
          </w:tcPr>
          <w:p>
            <w:r>
              <w:t>Run positive/negative security tests; correct failures, retest and review privileged access.</w:t>
            </w:r>
          </w:p>
        </w:tc>
        <w:tc>
          <w:tcPr>
            <w:tcW w:type="dxa" w:w="3331"/>
          </w:tcPr>
          <w:p>
            <w:r>
              <w:t>Test results, evidence, tracked findings</w:t>
            </w:r>
          </w:p>
        </w:tc>
      </w:tr>
      <w:tr>
        <w:tc>
          <w:tcPr>
            <w:tcW w:type="dxa" w:w="3331"/>
          </w:tcPr>
          <w:p>
            <w:r>
              <w:t>Week 6 — Review &amp; maintain</w:t>
            </w:r>
          </w:p>
        </w:tc>
        <w:tc>
          <w:tcPr>
            <w:tcW w:type="dxa" w:w="3331"/>
          </w:tcPr>
          <w:p>
            <w:r>
              <w:t>Approve residual risks; set monthly access checks and quarterly control review; collect baseline documentation.</w:t>
            </w:r>
          </w:p>
        </w:tc>
        <w:tc>
          <w:tcPr>
            <w:tcW w:type="dxa" w:w="3331"/>
          </w:tcPr>
          <w:p>
            <w:r>
              <w:t>Sign-off, monitoring calendar, versioned documentation</w:t>
            </w:r>
          </w:p>
        </w:tc>
      </w:tr>
    </w:tbl>
    <w:p>
      <w:pPr>
        <w:pStyle w:val="Heading1"/>
      </w:pPr>
      <w:r>
        <w:t>7  Two documented compliance controls</w:t>
      </w:r>
    </w:p>
    <w:p>
      <w:r>
        <w:t>These are proposed application controls aligned to relevant GLBA safeguards concepts, FFIEC supervisory guidance and NIST CSF 2.0 categories. They are not sufficient by themselves to establish full regulatory compliance.</w:t>
      </w:r>
    </w:p>
    <w:p>
      <w:pPr>
        <w:pStyle w:val="Heading2"/>
      </w:pPr>
      <w:r>
        <w:t>Control C-01  Role-based access control (RBAC)</w:t>
      </w:r>
    </w:p>
    <w:p>
      <w:r>
        <w:t>Purpose: limit policy viewing, editing, messaging and governance actions to authorized users. Owner: Security / technical lead; administrator performs access reviews. Status: planned / requires verification of enforcement for all roles.</w:t>
      </w:r>
    </w:p>
    <w:p>
      <w:r>
        <w:t>Implementation procedure:</w:t>
      </w:r>
    </w:p>
    <w:p>
      <w:pPr>
        <w:pStyle w:val="ListNumber"/>
      </w:pPr>
      <w:r>
        <w:t>Define a permission matrix for Employee, Policy Owner and System Admin (and HR if included).</w:t>
      </w:r>
    </w:p>
    <w:p>
      <w:pPr>
        <w:pStyle w:val="ListNumber"/>
      </w:pPr>
      <w:r>
        <w:t>Verify user identity and role in the backend on every protected request; never trust a UI-only role check.</w:t>
      </w:r>
    </w:p>
    <w:p>
      <w:pPr>
        <w:pStyle w:val="ListNumber"/>
      </w:pPr>
      <w:r>
        <w:t>Restrict policy updates, administration, message recipient access and incident records to permitted roles; deny by default.</w:t>
      </w:r>
    </w:p>
    <w:p>
      <w:pPr>
        <w:pStyle w:val="ListNumber"/>
      </w:pPr>
      <w:r>
        <w:t>Log meaningful authorized and denied actions without exposing private document content in logs.</w:t>
      </w:r>
    </w:p>
    <w:p>
      <w:pPr>
        <w:pStyle w:val="ListNumber"/>
      </w:pPr>
      <w:r>
        <w:t>Review active users and permissions monthly; remove access promptly when no longer needed.</w:t>
      </w:r>
    </w:p>
    <w:p>
      <w:r>
        <w:t>Testing method and pass criteria:</w:t>
      </w:r>
    </w:p>
    <w:p>
      <w:pPr>
        <w:pStyle w:val="ListBullet"/>
      </w:pPr>
      <w:r>
        <w:t>Create test accounts or controlled test fixtures for each role; the capstone may simulate roles without relying on fictitious Supabase logins.</w:t>
      </w:r>
    </w:p>
    <w:p>
      <w:pPr>
        <w:pStyle w:val="ListBullet"/>
      </w:pPr>
      <w:r>
        <w:t>Positive test: each role can perform its explicitly permitted action (PASS if allowed).</w:t>
      </w:r>
    </w:p>
    <w:p>
      <w:pPr>
        <w:pStyle w:val="ListBullet"/>
      </w:pPr>
      <w:r>
        <w:t>Negative test: Employee attempts admin-only edit, another user’s private message, and privileged endpoint directly (PASS only if server rejects with 403/appropriate denial and data is not returned).</w:t>
      </w:r>
    </w:p>
    <w:p>
      <w:pPr>
        <w:pStyle w:val="ListBullet"/>
      </w:pPr>
      <w:r>
        <w:t>Verify deny events in a redacted log and confirm revoking privileges blocks the next request. Save screenshots, sanitized HTTP responses and test date.</w:t>
      </w:r>
    </w:p>
    <w:p>
      <w:pPr>
        <w:pStyle w:val="Heading2"/>
      </w:pPr>
      <w:r>
        <w:t>Control C-02  Input validation and safe error handling</w:t>
      </w:r>
    </w:p>
    <w:p>
      <w:r>
        <w:t>Purpose: prevent malformed or unexpected questions/fields from reaching sensitive workflows and avoid exposing internal details. Owner: Security / technical lead. Status: partial evidence from an earlier SSD 1 test; DeRexi-specific implementation and repeat testing remain outstanding.</w:t>
      </w:r>
    </w:p>
    <w:p>
      <w:r>
        <w:t>Implementation procedure:</w:t>
      </w:r>
    </w:p>
    <w:p>
      <w:pPr>
        <w:pStyle w:val="ListNumber"/>
      </w:pPr>
      <w:r>
        <w:t>Define accepted field types, maximum lengths, required fields, and allowed values for questions, feedback and message creation.</w:t>
      </w:r>
    </w:p>
    <w:p>
      <w:pPr>
        <w:pStyle w:val="ListNumber"/>
      </w:pPr>
      <w:r>
        <w:t>Enforce the rules in the backend (frontend checks may improve usability but are not security boundaries).</w:t>
      </w:r>
    </w:p>
    <w:p>
      <w:pPr>
        <w:pStyle w:val="ListNumber"/>
      </w:pPr>
      <w:r>
        <w:t>Normalize or reject unsupported inputs; handle unexpected errors without revealing stack traces, credentials or backend internals.</w:t>
      </w:r>
    </w:p>
    <w:p>
      <w:pPr>
        <w:pStyle w:val="ListNumber"/>
      </w:pPr>
      <w:r>
        <w:t>Return a clear user-facing message and record a sanitized error category for troubleshooting.</w:t>
      </w:r>
    </w:p>
    <w:p>
      <w:pPr>
        <w:pStyle w:val="ListNumber"/>
      </w:pPr>
      <w:r>
        <w:t>Maintain automated tests for accepted and rejected payloads; re-run after relevant code changes.</w:t>
      </w:r>
    </w:p>
    <w:p>
      <w:r>
        <w:t>Testing method and pass criteria:</w:t>
      </w:r>
    </w:p>
    <w:p>
      <w:pPr>
        <w:pStyle w:val="ListBullet"/>
      </w:pPr>
      <w:r>
        <w:t>Positive tests: valid policy question and valid message are accepted and handled correctly.</w:t>
      </w:r>
    </w:p>
    <w:p>
      <w:pPr>
        <w:pStyle w:val="ListBullet"/>
      </w:pPr>
      <w:r>
        <w:t>Negative tests: blank or overlong questions, wrong data types, missing required fields and unexpected fields are rejected with appropriate 4xx responses.</w:t>
      </w:r>
    </w:p>
    <w:p>
      <w:pPr>
        <w:pStyle w:val="ListBullet"/>
      </w:pPr>
      <w:r>
        <w:t>Check that no sensitive implementation details appear in the user interface or API response, and no invalid record is stored.</w:t>
      </w:r>
    </w:p>
    <w:p>
      <w:pPr>
        <w:pStyle w:val="ListBullet"/>
      </w:pPr>
      <w:r>
        <w:t>Evidence: test-case table, sanitized screenshots of friendly errors, automated-test output and re-test log. Prior observation of HTTP 422 alone does not prove every DeRexi input is protected.</w:t>
      </w:r>
    </w:p>
    <w:p>
      <w:pPr>
        <w:pStyle w:val="Heading1"/>
      </w:pPr>
      <w:r>
        <w:t>8  Control verification record (fill in after testing)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</w:tcPr>
          <w:p>
            <w:r>
              <w:t>Control</w:t>
            </w:r>
          </w:p>
        </w:tc>
        <w:tc>
          <w:tcPr>
            <w:tcW w:type="dxa" w:w="1999"/>
          </w:tcPr>
          <w:p>
            <w:r>
              <w:t>Test date</w:t>
            </w:r>
          </w:p>
        </w:tc>
        <w:tc>
          <w:tcPr>
            <w:tcW w:type="dxa" w:w="1999"/>
          </w:tcPr>
          <w:p>
            <w:r>
              <w:t>Observed result</w:t>
            </w:r>
          </w:p>
        </w:tc>
        <w:tc>
          <w:tcPr>
            <w:tcW w:type="dxa" w:w="1999"/>
          </w:tcPr>
          <w:p>
            <w:r>
              <w:t>Pass / fail</w:t>
            </w:r>
          </w:p>
        </w:tc>
        <w:tc>
          <w:tcPr>
            <w:tcW w:type="dxa" w:w="1999"/>
          </w:tcPr>
          <w:p>
            <w:r>
              <w:t>Evidence ID</w:t>
            </w:r>
          </w:p>
        </w:tc>
      </w:tr>
      <w:tr>
        <w:tc>
          <w:tcPr>
            <w:tcW w:type="dxa" w:w="1999"/>
          </w:tcPr>
          <w:p>
            <w:r>
              <w:t>C-01 RBAC</w:t>
            </w:r>
          </w:p>
        </w:tc>
        <w:tc>
          <w:tcPr>
            <w:tcW w:type="dxa" w:w="1999"/>
          </w:tcPr>
          <w:p>
            <w:r>
              <w:t>Pending</w:t>
            </w:r>
          </w:p>
        </w:tc>
        <w:tc>
          <w:tcPr>
            <w:tcW w:type="dxa" w:w="1999"/>
          </w:tcPr>
          <w:p>
            <w:r>
              <w:t>Not yet verified</w:t>
            </w:r>
          </w:p>
        </w:tc>
        <w:tc>
          <w:tcPr>
            <w:tcW w:type="dxa" w:w="1999"/>
          </w:tcPr>
          <w:p>
            <w:r>
              <w:t>Pending</w:t>
            </w:r>
          </w:p>
        </w:tc>
        <w:tc>
          <w:tcPr>
            <w:tcW w:type="dxa" w:w="1999"/>
          </w:tcPr>
          <w:p>
            <w:r>
              <w:t>—</w:t>
            </w:r>
          </w:p>
        </w:tc>
      </w:tr>
      <w:tr>
        <w:tc>
          <w:tcPr>
            <w:tcW w:type="dxa" w:w="1999"/>
          </w:tcPr>
          <w:p>
            <w:r>
              <w:t>C-02 Validation</w:t>
            </w:r>
          </w:p>
        </w:tc>
        <w:tc>
          <w:tcPr>
            <w:tcW w:type="dxa" w:w="1999"/>
          </w:tcPr>
          <w:p>
            <w:r>
              <w:t>Pending</w:t>
            </w:r>
          </w:p>
        </w:tc>
        <w:tc>
          <w:tcPr>
            <w:tcW w:type="dxa" w:w="1999"/>
          </w:tcPr>
          <w:p>
            <w:r>
              <w:t>DeRexi-specific retest needed</w:t>
            </w:r>
          </w:p>
        </w:tc>
        <w:tc>
          <w:tcPr>
            <w:tcW w:type="dxa" w:w="1999"/>
          </w:tcPr>
          <w:p>
            <w:r>
              <w:t>Pending</w:t>
            </w:r>
          </w:p>
        </w:tc>
        <w:tc>
          <w:tcPr>
            <w:tcW w:type="dxa" w:w="1999"/>
          </w:tcPr>
          <w:p>
            <w:r>
              <w:t>—</w:t>
            </w:r>
          </w:p>
        </w:tc>
      </w:tr>
    </w:tbl>
    <w:p>
      <w:r>
        <w:t>Acceptance and follow-up: record defects, responsible owner, target fix date, retest and final approval. Do not mark a control “implemented” or “passed” until the application has been tested and evidence retained.</w:t>
      </w:r>
    </w:p>
    <w:sectPr w:rsidR="00FC693F" w:rsidRPr="0006063C" w:rsidSect="00034616">
      <w:footerReference w:type="default" r:id="rId9"/>
      <w:pgSz w:w="12240" w:h="15840"/>
      <w:pgMar w:top="864" w:right="1123" w:bottom="864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DeRexi  |  Compliance 1  |  Working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D313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B2A2E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B2A2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4B2A2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