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97cfjstvkc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犯罪學理論與學者分類總表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2wtw6ovkwl3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I. 刑事司法體系模式 (Criminal Justice System Models)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結婚蛋糕運作模式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渥克 (Walker)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兩條輸送帶運作模式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哈特 (Packer)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uwjskah0woy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II. 犯罪學古典學派 (Classical School of Criminology)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犯罪古典學派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貝加利亞 (Beccaria)、邊沁 (Bentham)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英國功利主義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邊沁 (Bentham)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mpirlmnywpu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III. 犯罪學實證學派 (Positivist School of Criminology)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犯罪實證學派 (義大利三聖)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龍布羅梭 (Lombroso)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費利 (Ferri)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蓋洛法羅 (Garofalo)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犯罪學之父、犯罪人分類 (人類學)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龍布羅梭 (Lombroso)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犯罪飽和定律、犯罪三元說、社會責任論 (社會學)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費利 (Ferri)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自然犯罪與法定犯罪 (心理學)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蓋洛法羅 (Garofalo)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agiem53fx0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IV. 當代古典理論 (理性選擇)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犯罪計量經濟學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貝克 (Becker)、蘇利文 (Sullivan)、愛利希 (Ehrlich)、卡羅 (Caro)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成本效益論點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貝克 (Becker)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理性選擇主義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克拉克 (Clarke)、康尼斯 (Cornish)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威嚇主義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馬丁森 (Martinson)、發塔 (Fatah)、封赫胥 (von Hirsch)、威爾遜 (Wilson)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801ngg4gh7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V. 生物學與心理學理論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A. 生物學理論 (Biological Theories)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體型性格說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克雷奇默 (Kretschmer)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體型說 (胚胎學)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雪爾頓 (Sheldon)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雙胞胎與犯罪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蘭基 (Lange) - 肯定說、克莉絲汀納森 (Christiansen) - 否定說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內分泌失調與犯罪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伯曼 (Berman)、反對者：馬修 (Matthew)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犯罪家庭研究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杜代爾 (Dugdale)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染色體XYY型異常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傑科布 (Jacobs)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智商與犯罪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赫胥 (Hirschi)、辛德朗 (Hindelang)、高登 (Gordon)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自主神經系統與犯罪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艾森克 (Eysenck)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生物社會學習理論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傑佛利 (Jeffery)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B. 心理學理論 (Psychological Theories)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心理分析理論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佛洛伊德 (Freud)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人格特質理論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歐波特 (Allport)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道德發展理論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皮亞傑 (Piaget) - 3律、柯伯爾 (Kohlberg) - 6階段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母愛剝奪理論 (附著理論)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鮑比 (Bowlby)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犯罪人犯罪思考類型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瓦特斯 (Walters)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挫折攻擊理論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達樂 (Dollard)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行為主義理論 (制約)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桑代克 (Thorndike)、巴普洛夫 (Pavlov)、史基納 (Skinner)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操作理論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史基納 (Skinner)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無助學習論 (習得無助感)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西里曼 (Seligman)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8d7edaj89l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VI. 社會學理論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A. 社會結構理論 (Social Structure Theories)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芝加哥學派 (Chicago School)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無規範理論 (亂迷理論)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涂爾幹 (Durkheim)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社會生態理論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派克 (Park)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同心圓理論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伯格斯 (Burgess)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少年犯罪研究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蕭 (Shaw)、馬凱 (McKay)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芝加哥區域計畫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蕭 (Shaw)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緊張理論 (Strain Theories)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古典緊張理論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墨爾頓 (Merton)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一般化緊張理論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安格紐 (Agnew)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制度性緊張理論 (美國夢)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梅斯納 (Messner) &amp; 羅森菲爾 (Rosenfeld)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次文化理論 (Subcultural Theories)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文化衝突理論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雪林 (Sellin)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下階層文化衝突理論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米勒 (Miller)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幫派副文化理論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柯恩 (Cohen)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差別機會理論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克勞德 (Cloward)、歐林 (Ohlin)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暴力副文化理論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渥夫幹 (Wolfgang)、費洛庫提 (Ferracuti)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B. 社會過程理論 (Social Process Theories)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學習理論 (Learning Theories)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社會學習理論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班都拉 (Bandura)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差別接觸理論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蘇哲蘭 (Sutherland)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差別增強理論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艾克斯 (Akers)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中立化理論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馬札 (Matza)、西克斯 (Sykes)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控制理論 (Control Theories)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抑制理論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雷克利斯 (Reckless)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社會鍵理論 (社會控制理論)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赫胥 (Hirschi)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社會疏離理論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傑佛利 (Jeffery)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C. 社會衝突與批判理論 (Social Conflict &amp; Critical Theories)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標籤理論 (Labeling Theory)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主要提出者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貝克 (Becker)、李瑪特 (Lemert)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邪惡的戲劇化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田納邦 (Tannenbaum)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初級與次級偏差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李瑪特 (Lemert)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衝突理論 (Conflict Theories)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馬克斯主義理論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馬克思 (Marx)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團體衝突理論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渥爾德 (Vold)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權威衝突理論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塔克 (Turk)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社會真相理論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昆尼 (Quinney)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強迫協調結合理論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達倫道夫 (Dahrendorf)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權力控制理論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哈根 (Hagan)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和平建構與整合理論 (Peacemaking &amp; Integrated Theories)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和平建構犯罪學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倍平斯基 (Pepinsky)、昆尼 (Quinney)、傑爾 (Zare)、烏布萊特 (Ublecht)、懷特 (White)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明恥整合理論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布列斯偉特 (Braithwaite)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緊張、控制及學習理論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艾利歐 (Elliott)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txiikxiwe0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VII. 發展性犯罪學 (生命史理論)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人格特質理論 (發展犯罪學先驅)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格魯克夫婦 (The Gluecks)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慢性犯罪者研究 (同生群縱貫研究)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渥夫幹 (Wolfgang)、雪林 (Sellin)、費格利歐 (Figlio)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一般化犯罪理論 (低自我控制)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赫胥 (Hirschi)、高佛森 (Gottfredson)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少年差別壓迫理論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雷格利 (Regoli)、海威特 (Hewitt)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互動犯罪理論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宋貝利 (Thornberry)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少年犯罪路徑研究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羅伯 (Loeber)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逐級年齡非正式社會控制理論 (轉捩點理論)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桑普森 (Sampson)、勞伯 (Laub)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社會互動發展理論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派特森 (Patterson)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兩分類犯罪人理論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墨菲 (Moffitt)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贖罪腳本理論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馬魯納 (Maruna)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完形犯罪學 (一般化犯罪暨非行理論)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安格紐 (Agnew)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風險樹 (危機樹) 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麥克懷特 (McWhite)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jfyt1ifc55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VIII. 被害者學與機會理論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被害者學 (Victimology)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被害者促發理論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渥夫幹 (Wolfgang)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情境處理論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洛肯比爾 (Luckenbill)、高夫曼 (Goffman)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生活方式暴露理論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辛德朗 (Hindelang)、高佛森 (Gottfredson)、蓋洛法羅 (Garofalo)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對等團體假設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新格 (Singer)、桑普森 (Sampson)、勞伯 (Laub)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偏差鄰坊假設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麥斯 (Stark)、麥爾 (Meyer)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機會與犯罪預防理論 (Opportunity &amp; Crime Prevention)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日常活動理論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柯恩 (Cohen)、費爾遜 (Felson)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新機會犯罪理論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費爾遜 (Felson)、克拉克 (Clarke)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犯罪鐵三角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克拉克 (Clarke)、艾克 (Eck)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防衛空間理論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紐曼 (Newman)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環境設計預防犯罪 (CPTED)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傑佛利 (Jeffery)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情境犯罪預防策略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克拉克 (Clarke)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公共衛生三級犯罪預防模式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布列亭翰 (Brantingham)、佛列特 (Faust)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8dl4d66j9o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IX. 特定犯罪類型理論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性侵害者類型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史耐德 (Schneider) 、葛洛斯 (Groth)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白領犯罪類型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富蘭德利奇 (Friedrichs)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理性選擇組織犯罪理論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陸普夏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Lupsha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私人保護理論 (黑手黨)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甘貝他 (Gambetta)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