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d5pkqo7a6jwn" w:id="0"/>
      <w:bookmarkEnd w:id="0"/>
      <w:r w:rsidDel="00000000" w:rsidR="00000000" w:rsidRPr="00000000">
        <w:rPr>
          <w:b w:val="1"/>
          <w:color w:val="000000"/>
          <w:sz w:val="26"/>
          <w:szCs w:val="26"/>
          <w:rtl w:val="0"/>
        </w:rPr>
        <w:t xml:space="preserve">Brighter Future Foundation (BFF) Organizational Profile</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hjyx2cp94no3"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Brighter Future Foundation (BFF)</w:t>
      </w:r>
      <w:r w:rsidDel="00000000" w:rsidR="00000000" w:rsidRPr="00000000">
        <w:rPr>
          <w:rtl w:val="0"/>
        </w:rPr>
        <w:t xml:space="preserve"> is a nonprofit organization established in </w:t>
      </w:r>
      <w:r w:rsidDel="00000000" w:rsidR="00000000" w:rsidRPr="00000000">
        <w:rPr>
          <w:b w:val="1"/>
          <w:rtl w:val="0"/>
        </w:rPr>
        <w:t xml:space="preserve">2022</w:t>
      </w:r>
      <w:r w:rsidDel="00000000" w:rsidR="00000000" w:rsidRPr="00000000">
        <w:rPr>
          <w:rtl w:val="0"/>
        </w:rPr>
        <w:t xml:space="preserve"> to provide transformative educational opportunities and complementary programs to Somalia’s most vulnerable populations. Rooted in the belief that education is the cornerstone of </w:t>
      </w:r>
      <w:r w:rsidDel="00000000" w:rsidR="00000000" w:rsidRPr="00000000">
        <w:rPr>
          <w:b w:val="1"/>
          <w:rtl w:val="0"/>
        </w:rPr>
        <w:t xml:space="preserve">self-reliance</w:t>
      </w:r>
      <w:r w:rsidDel="00000000" w:rsidR="00000000" w:rsidRPr="00000000">
        <w:rPr>
          <w:rtl w:val="0"/>
        </w:rPr>
        <w:t xml:space="preserve">, </w:t>
      </w:r>
      <w:r w:rsidDel="00000000" w:rsidR="00000000" w:rsidRPr="00000000">
        <w:rPr>
          <w:b w:val="1"/>
          <w:rtl w:val="0"/>
        </w:rPr>
        <w:t xml:space="preserve">resilience</w:t>
      </w:r>
      <w:r w:rsidDel="00000000" w:rsidR="00000000" w:rsidRPr="00000000">
        <w:rPr>
          <w:rtl w:val="0"/>
        </w:rPr>
        <w:t xml:space="preserve">, and </w:t>
      </w:r>
      <w:r w:rsidDel="00000000" w:rsidR="00000000" w:rsidRPr="00000000">
        <w:rPr>
          <w:b w:val="1"/>
          <w:rtl w:val="0"/>
        </w:rPr>
        <w:t xml:space="preserve">long-term development</w:t>
      </w:r>
      <w:r w:rsidDel="00000000" w:rsidR="00000000" w:rsidRPr="00000000">
        <w:rPr>
          <w:rtl w:val="0"/>
        </w:rPr>
        <w:t xml:space="preserve">, BFF works to address the systemic challenges faced by </w:t>
      </w:r>
      <w:r w:rsidDel="00000000" w:rsidR="00000000" w:rsidRPr="00000000">
        <w:rPr>
          <w:b w:val="1"/>
          <w:rtl w:val="0"/>
        </w:rPr>
        <w:t xml:space="preserve">internally displaced persons (IDPs)</w:t>
      </w:r>
      <w:r w:rsidDel="00000000" w:rsidR="00000000" w:rsidRPr="00000000">
        <w:rPr>
          <w:rtl w:val="0"/>
        </w:rPr>
        <w:t xml:space="preserve"> and underserved communities. By integrating </w:t>
      </w:r>
      <w:r w:rsidDel="00000000" w:rsidR="00000000" w:rsidRPr="00000000">
        <w:rPr>
          <w:b w:val="1"/>
          <w:rtl w:val="0"/>
        </w:rPr>
        <w:t xml:space="preserve">education</w:t>
      </w:r>
      <w:r w:rsidDel="00000000" w:rsidR="00000000" w:rsidRPr="00000000">
        <w:rPr>
          <w:rtl w:val="0"/>
        </w:rPr>
        <w:t xml:space="preserve">, </w:t>
      </w:r>
      <w:r w:rsidDel="00000000" w:rsidR="00000000" w:rsidRPr="00000000">
        <w:rPr>
          <w:b w:val="1"/>
          <w:rtl w:val="0"/>
        </w:rPr>
        <w:t xml:space="preserve">livelihood support</w:t>
      </w:r>
      <w:r w:rsidDel="00000000" w:rsidR="00000000" w:rsidRPr="00000000">
        <w:rPr>
          <w:rtl w:val="0"/>
        </w:rPr>
        <w:t xml:space="preserve">, </w:t>
      </w:r>
      <w:r w:rsidDel="00000000" w:rsidR="00000000" w:rsidRPr="00000000">
        <w:rPr>
          <w:b w:val="1"/>
          <w:rtl w:val="0"/>
        </w:rPr>
        <w:t xml:space="preserve">health and nutrition</w:t>
      </w:r>
      <w:r w:rsidDel="00000000" w:rsidR="00000000" w:rsidRPr="00000000">
        <w:rPr>
          <w:rtl w:val="0"/>
        </w:rPr>
        <w:t xml:space="preserve">, </w:t>
      </w:r>
      <w:r w:rsidDel="00000000" w:rsidR="00000000" w:rsidRPr="00000000">
        <w:rPr>
          <w:b w:val="1"/>
          <w:rtl w:val="0"/>
        </w:rPr>
        <w:t xml:space="preserve">protection</w:t>
      </w:r>
      <w:r w:rsidDel="00000000" w:rsidR="00000000" w:rsidRPr="00000000">
        <w:rPr>
          <w:rtl w:val="0"/>
        </w:rPr>
        <w:t xml:space="preserve">, and </w:t>
      </w:r>
      <w:r w:rsidDel="00000000" w:rsidR="00000000" w:rsidRPr="00000000">
        <w:rPr>
          <w:b w:val="1"/>
          <w:rtl w:val="0"/>
        </w:rPr>
        <w:t xml:space="preserve">WASH</w:t>
      </w:r>
      <w:r w:rsidDel="00000000" w:rsidR="00000000" w:rsidRPr="00000000">
        <w:rPr>
          <w:rtl w:val="0"/>
        </w:rPr>
        <w:t xml:space="preserve"> programs, BFF delivers holistic, context-specific solutions tailored to urban centers and semi-urban towns.</w:t>
      </w:r>
    </w:p>
    <w:p w:rsidR="00000000" w:rsidDel="00000000" w:rsidP="00000000" w:rsidRDefault="00000000" w:rsidRPr="00000000" w14:paraId="00000005">
      <w:pPr>
        <w:spacing w:after="240" w:before="240" w:lineRule="auto"/>
        <w:rPr/>
      </w:pPr>
      <w:r w:rsidDel="00000000" w:rsidR="00000000" w:rsidRPr="00000000">
        <w:rPr>
          <w:rtl w:val="0"/>
        </w:rPr>
        <w:t xml:space="preserve">Our operational focus spans the regions of </w:t>
      </w:r>
      <w:r w:rsidDel="00000000" w:rsidR="00000000" w:rsidRPr="00000000">
        <w:rPr>
          <w:b w:val="1"/>
          <w:rtl w:val="0"/>
        </w:rPr>
        <w:t xml:space="preserve">Jubaland</w:t>
      </w:r>
      <w:r w:rsidDel="00000000" w:rsidR="00000000" w:rsidRPr="00000000">
        <w:rPr>
          <w:rtl w:val="0"/>
        </w:rPr>
        <w:t xml:space="preserve">, </w:t>
      </w:r>
      <w:r w:rsidDel="00000000" w:rsidR="00000000" w:rsidRPr="00000000">
        <w:rPr>
          <w:b w:val="1"/>
          <w:rtl w:val="0"/>
        </w:rPr>
        <w:t xml:space="preserve">Benadir</w:t>
      </w:r>
      <w:r w:rsidDel="00000000" w:rsidR="00000000" w:rsidRPr="00000000">
        <w:rPr>
          <w:rtl w:val="0"/>
        </w:rPr>
        <w:t xml:space="preserve">, and </w:t>
      </w:r>
      <w:r w:rsidDel="00000000" w:rsidR="00000000" w:rsidRPr="00000000">
        <w:rPr>
          <w:b w:val="1"/>
          <w:rtl w:val="0"/>
        </w:rPr>
        <w:t xml:space="preserve">Southwest States</w:t>
      </w:r>
      <w:r w:rsidDel="00000000" w:rsidR="00000000" w:rsidRPr="00000000">
        <w:rPr>
          <w:rtl w:val="0"/>
        </w:rPr>
        <w:t xml:space="preserve">, including key urban hubs like </w:t>
      </w:r>
      <w:r w:rsidDel="00000000" w:rsidR="00000000" w:rsidRPr="00000000">
        <w:rPr>
          <w:b w:val="1"/>
          <w:rtl w:val="0"/>
        </w:rPr>
        <w:t xml:space="preserve">Mogadishu</w:t>
      </w:r>
      <w:r w:rsidDel="00000000" w:rsidR="00000000" w:rsidRPr="00000000">
        <w:rPr>
          <w:rtl w:val="0"/>
        </w:rPr>
        <w:t xml:space="preserve">, </w:t>
      </w:r>
      <w:r w:rsidDel="00000000" w:rsidR="00000000" w:rsidRPr="00000000">
        <w:rPr>
          <w:b w:val="1"/>
          <w:rtl w:val="0"/>
        </w:rPr>
        <w:t xml:space="preserve">Baidoa</w:t>
      </w:r>
      <w:r w:rsidDel="00000000" w:rsidR="00000000" w:rsidRPr="00000000">
        <w:rPr>
          <w:rtl w:val="0"/>
        </w:rPr>
        <w:t xml:space="preserve">, and </w:t>
      </w:r>
      <w:r w:rsidDel="00000000" w:rsidR="00000000" w:rsidRPr="00000000">
        <w:rPr>
          <w:b w:val="1"/>
          <w:rtl w:val="0"/>
        </w:rPr>
        <w:t xml:space="preserve">Kismayo</w:t>
      </w:r>
      <w:r w:rsidDel="00000000" w:rsidR="00000000" w:rsidRPr="00000000">
        <w:rPr>
          <w:rtl w:val="0"/>
        </w:rPr>
        <w:t xml:space="preserve">, as well as semi-urban towns like </w:t>
      </w:r>
      <w:r w:rsidDel="00000000" w:rsidR="00000000" w:rsidRPr="00000000">
        <w:rPr>
          <w:b w:val="1"/>
          <w:rtl w:val="0"/>
        </w:rPr>
        <w:t xml:space="preserve">Dollow</w:t>
      </w:r>
      <w:r w:rsidDel="00000000" w:rsidR="00000000" w:rsidRPr="00000000">
        <w:rPr>
          <w:rtl w:val="0"/>
        </w:rPr>
        <w:t xml:space="preserve">. By adapting interventions to local realities, BFF ensures sustainable impact for Somalia’s children, youth, and communities.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wy5a6tmfkhy6" w:id="2"/>
      <w:bookmarkEnd w:id="2"/>
      <w:r w:rsidDel="00000000" w:rsidR="00000000" w:rsidRPr="00000000">
        <w:rPr>
          <w:b w:val="1"/>
          <w:color w:val="000000"/>
          <w:sz w:val="26"/>
          <w:szCs w:val="26"/>
          <w:rtl w:val="0"/>
        </w:rPr>
        <w:t xml:space="preserve">Vision</w:t>
      </w:r>
    </w:p>
    <w:p w:rsidR="00000000" w:rsidDel="00000000" w:rsidP="00000000" w:rsidRDefault="00000000" w:rsidRPr="00000000" w14:paraId="00000007">
      <w:pPr>
        <w:spacing w:after="240" w:before="240" w:lineRule="auto"/>
        <w:rPr/>
      </w:pPr>
      <w:r w:rsidDel="00000000" w:rsidR="00000000" w:rsidRPr="00000000">
        <w:rPr>
          <w:rtl w:val="0"/>
        </w:rPr>
        <w:t xml:space="preserve">A future where every child and youth in Somalia has access to quality education and opportunities to reach their full potential, regardless of their circumstances.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3um0mfiqtna3" w:id="3"/>
      <w:bookmarkEnd w:id="3"/>
      <w:r w:rsidDel="00000000" w:rsidR="00000000" w:rsidRPr="00000000">
        <w:rPr>
          <w:b w:val="1"/>
          <w:color w:val="000000"/>
          <w:sz w:val="26"/>
          <w:szCs w:val="26"/>
          <w:rtl w:val="0"/>
        </w:rPr>
        <w:t xml:space="preserve">Mission</w:t>
      </w:r>
    </w:p>
    <w:p w:rsidR="00000000" w:rsidDel="00000000" w:rsidP="00000000" w:rsidRDefault="00000000" w:rsidRPr="00000000" w14:paraId="00000009">
      <w:pPr>
        <w:spacing w:after="240" w:before="240" w:lineRule="auto"/>
        <w:rPr/>
      </w:pPr>
      <w:r w:rsidDel="00000000" w:rsidR="00000000" w:rsidRPr="00000000">
        <w:rPr>
          <w:rtl w:val="0"/>
        </w:rPr>
        <w:t xml:space="preserve">To empower displaced and underserved communities in Somalia by expanding access to inclusive, equitable, and quality education, while integrating complementary programs that address critical barriers to sustainable development.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uoee29gbjls9" w:id="4"/>
      <w:bookmarkEnd w:id="4"/>
      <w:r w:rsidDel="00000000" w:rsidR="00000000" w:rsidRPr="00000000">
        <w:rPr>
          <w:b w:val="1"/>
          <w:color w:val="000000"/>
          <w:sz w:val="26"/>
          <w:szCs w:val="26"/>
          <w:rtl w:val="0"/>
        </w:rPr>
        <w:t xml:space="preserve">Core Values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b w:val="1"/>
          <w:rtl w:val="0"/>
        </w:rPr>
        <w:t xml:space="preserve">Equity and Inclusion</w:t>
      </w:r>
      <w:r w:rsidDel="00000000" w:rsidR="00000000" w:rsidRPr="00000000">
        <w:rPr>
          <w:rtl w:val="0"/>
        </w:rPr>
        <w:t xml:space="preserve">: Ensuring all children and youth, particularly marginalized groups, have access to education and opportunities.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Prioritizing long-term impact through collaboration and capacity-building.</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Community-Driven Solutions</w:t>
      </w:r>
      <w:r w:rsidDel="00000000" w:rsidR="00000000" w:rsidRPr="00000000">
        <w:rPr>
          <w:rtl w:val="0"/>
        </w:rPr>
        <w:t xml:space="preserve">: Grounding all interventions in the participation and empowerment of local communities.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Accountability and Transparency</w:t>
      </w:r>
      <w:r w:rsidDel="00000000" w:rsidR="00000000" w:rsidRPr="00000000">
        <w:rPr>
          <w:rtl w:val="0"/>
        </w:rPr>
        <w:t xml:space="preserve">: Upholding the highest standards of integrity with beneficiaries, stakeholders, and donors.</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Leveraging creative and evidence-based solutions to address complex challenges.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jlzv2316q3vd" w:id="5"/>
      <w:bookmarkEnd w:id="5"/>
      <w:r w:rsidDel="00000000" w:rsidR="00000000" w:rsidRPr="00000000">
        <w:rPr>
          <w:b w:val="1"/>
          <w:color w:val="000000"/>
          <w:sz w:val="26"/>
          <w:szCs w:val="26"/>
          <w:rtl w:val="0"/>
        </w:rPr>
        <w:t xml:space="preserve">Programmatic Pillars</w:t>
      </w:r>
    </w:p>
    <w:p w:rsidR="00000000" w:rsidDel="00000000" w:rsidP="00000000" w:rsidRDefault="00000000" w:rsidRPr="00000000" w14:paraId="00000011">
      <w:pPr>
        <w:spacing w:after="240" w:before="240" w:lineRule="auto"/>
        <w:rPr/>
      </w:pPr>
      <w:r w:rsidDel="00000000" w:rsidR="00000000" w:rsidRPr="00000000">
        <w:rPr>
          <w:rtl w:val="0"/>
        </w:rPr>
        <w:t xml:space="preserve">BFF’s interventions are built on four strategic pillars designed to address the multifaceted challenges faced by vulnerable populations in Somalia:</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eading=h.gozp59j4t4nx" w:id="6"/>
      <w:bookmarkEnd w:id="6"/>
      <w:r w:rsidDel="00000000" w:rsidR="00000000" w:rsidRPr="00000000">
        <w:rPr>
          <w:b w:val="1"/>
          <w:color w:val="000000"/>
          <w:sz w:val="22"/>
          <w:szCs w:val="22"/>
          <w:rtl w:val="0"/>
        </w:rPr>
        <w:t xml:space="preserve">1. Access: Removing Barriers to Education</w:t>
      </w:r>
    </w:p>
    <w:p w:rsidR="00000000" w:rsidDel="00000000" w:rsidP="00000000" w:rsidRDefault="00000000" w:rsidRPr="00000000" w14:paraId="00000013">
      <w:pPr>
        <w:spacing w:after="240" w:before="240" w:lineRule="auto"/>
        <w:rPr/>
      </w:pPr>
      <w:r w:rsidDel="00000000" w:rsidR="00000000" w:rsidRPr="00000000">
        <w:rPr>
          <w:b w:val="1"/>
          <w:rtl w:val="0"/>
        </w:rPr>
        <w:t xml:space="preserve">Why Focus on Access?</w:t>
        <w:br w:type="textWrapping"/>
      </w:r>
      <w:r w:rsidDel="00000000" w:rsidR="00000000" w:rsidRPr="00000000">
        <w:rPr>
          <w:rtl w:val="0"/>
        </w:rPr>
        <w:t xml:space="preserve">Access to education is often limited by structural, financial, and cultural barriers, particularly for IDPs in remote or underserved areas. Without addressing these challenges, children and youth remain excluded from opportunities for personal and economic development.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Key Interventions: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Constructing and rehabilitating schools in remote areas and IDP settlements, prioritizing safety and proximity.</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Providing scholarships, uniforms, and essential teaching and learning materials to alleviate financial burdens.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Conducting awareness campaigns to foster community support for education, focusing on increasing enrollment for girls and marginalized children.</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Establishing transport solutions, such as subsidized buses or bicycles, for children in hard-to-reach areas.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heading=h.lq5idwt5pl3r" w:id="7"/>
      <w:bookmarkEnd w:id="7"/>
      <w:r w:rsidDel="00000000" w:rsidR="00000000" w:rsidRPr="00000000">
        <w:rPr>
          <w:b w:val="1"/>
          <w:color w:val="000000"/>
          <w:sz w:val="22"/>
          <w:szCs w:val="22"/>
          <w:rtl w:val="0"/>
        </w:rPr>
        <w:t xml:space="preserve">2. Inclusivity and Equity: Leaving No Child Behind</w:t>
      </w:r>
    </w:p>
    <w:p w:rsidR="00000000" w:rsidDel="00000000" w:rsidP="00000000" w:rsidRDefault="00000000" w:rsidRPr="00000000" w14:paraId="0000001A">
      <w:pPr>
        <w:spacing w:after="240" w:before="240" w:lineRule="auto"/>
        <w:rPr/>
      </w:pPr>
      <w:r w:rsidDel="00000000" w:rsidR="00000000" w:rsidRPr="00000000">
        <w:rPr>
          <w:b w:val="1"/>
          <w:rtl w:val="0"/>
        </w:rPr>
        <w:t xml:space="preserve">Why Focus on Inclusivity and Equity?</w:t>
        <w:br w:type="textWrapping"/>
      </w:r>
      <w:r w:rsidDel="00000000" w:rsidR="00000000" w:rsidRPr="00000000">
        <w:rPr>
          <w:rtl w:val="0"/>
        </w:rPr>
        <w:t xml:space="preserve">Girls, children with disabilities, and marginalized communities are often excluded from formal education due to systemic inequalities. Promoting inclusive and equitable education is essential for achieving universal access and fostering social cohesion.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Key Interventions: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Developing gender-sensitive programs, including menstrual hygiene management and gender-segregated sanitation facilities.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Training teachers in inclusive methodologies and equipping schools with assistive devices (e.g., braille, ramps).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Establishing mobile schools and flexible learning models for nomadic populations.</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Creating child-friendly spaces within schools that provide psychosocial support and protection for trauma-affected children.</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heading=h.itsc019325z" w:id="8"/>
      <w:bookmarkEnd w:id="8"/>
      <w:r w:rsidDel="00000000" w:rsidR="00000000" w:rsidRPr="00000000">
        <w:rPr>
          <w:b w:val="1"/>
          <w:color w:val="000000"/>
          <w:sz w:val="22"/>
          <w:szCs w:val="22"/>
          <w:rtl w:val="0"/>
        </w:rPr>
        <w:t xml:space="preserve">3. Quality Education: Elevating Learning Outcomes</w:t>
      </w:r>
    </w:p>
    <w:p w:rsidR="00000000" w:rsidDel="00000000" w:rsidP="00000000" w:rsidRDefault="00000000" w:rsidRPr="00000000" w14:paraId="00000021">
      <w:pPr>
        <w:spacing w:after="240" w:before="240" w:lineRule="auto"/>
        <w:rPr/>
      </w:pPr>
      <w:r w:rsidDel="00000000" w:rsidR="00000000" w:rsidRPr="00000000">
        <w:rPr>
          <w:b w:val="1"/>
          <w:rtl w:val="0"/>
        </w:rPr>
        <w:t xml:space="preserve">Why Focus on Quality Education?</w:t>
        <w:br w:type="textWrapping"/>
      </w:r>
      <w:r w:rsidDel="00000000" w:rsidR="00000000" w:rsidRPr="00000000">
        <w:rPr>
          <w:rtl w:val="0"/>
        </w:rPr>
        <w:t xml:space="preserve">Access without quality limits the potential of education to transform lives. Many schools in Somalia lack trained teachers, up-to-date curricula, and adequate resources, leading to poor learning outcomes and low retention rates.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Key Interventions: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Training teachers in child-centered, trauma-informed, and inclusive pedagogies to improve instructional effectiveness.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Enhancing curricula to include life skills, peace education, climate literacy, and digital literacy.</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Strengthening secondary schools and satellite universities to expand access to quality education for youth in underserved areas.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Establishing remedial education programs for students who have missed school due to displacement or conflict.</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Integrating digital learning tools in urban centers to enhance learning outcomes and prepare students for modern job markets.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heading=h.n873ew78p7y2" w:id="9"/>
      <w:bookmarkEnd w:id="9"/>
      <w:r w:rsidDel="00000000" w:rsidR="00000000" w:rsidRPr="00000000">
        <w:rPr>
          <w:b w:val="1"/>
          <w:color w:val="000000"/>
          <w:sz w:val="22"/>
          <w:szCs w:val="22"/>
          <w:rtl w:val="0"/>
        </w:rPr>
        <w:t xml:space="preserve">4. Education Systems Strengthening and Support</w:t>
      </w:r>
    </w:p>
    <w:p w:rsidR="00000000" w:rsidDel="00000000" w:rsidP="00000000" w:rsidRDefault="00000000" w:rsidRPr="00000000" w14:paraId="00000029">
      <w:pPr>
        <w:spacing w:after="240" w:before="240" w:lineRule="auto"/>
        <w:rPr/>
      </w:pPr>
      <w:r w:rsidDel="00000000" w:rsidR="00000000" w:rsidRPr="00000000">
        <w:rPr>
          <w:b w:val="1"/>
          <w:rtl w:val="0"/>
        </w:rPr>
        <w:t xml:space="preserve">Why Focus on Systems Strengthening?</w:t>
        <w:br w:type="textWrapping"/>
      </w:r>
      <w:r w:rsidDel="00000000" w:rsidR="00000000" w:rsidRPr="00000000">
        <w:rPr>
          <w:rtl w:val="0"/>
        </w:rPr>
        <w:t xml:space="preserve">Sustainable education requires robust governance and systems that can adapt to crises and deliver long-term solutions. Weak institutional capacity and fragmented coordination hinder the effectiveness of Somalia’s education system.</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Key Interventions: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rtl w:val="0"/>
        </w:rPr>
        <w:t xml:space="preserve">Advocating for inclusive and equitable education policies in collaboration with government authorities.</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Providing capacity-building training for school administrators, district officers, and education directors to improve governance and planning.</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Supporting Education Management Information Systems (EMIS) to enable data-driven decision-making and track enrollment, attendance, and learning outcomes.</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Establishing community-based school management committees to promote local ownership and accountability.</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tl w:val="0"/>
        </w:rPr>
        <w:t xml:space="preserve">Developing contingency plans to ensure education continuity during emergencies.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eading=h.oecy5mg6cy6e" w:id="10"/>
      <w:bookmarkEnd w:id="10"/>
      <w:r w:rsidDel="00000000" w:rsidR="00000000" w:rsidRPr="00000000">
        <w:rPr>
          <w:b w:val="1"/>
          <w:color w:val="000000"/>
          <w:sz w:val="26"/>
          <w:szCs w:val="26"/>
          <w:rtl w:val="0"/>
        </w:rPr>
        <w:t xml:space="preserve">Cross-Cutting Themes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Psychosocial Support:</w:t>
      </w:r>
      <w:r w:rsidDel="00000000" w:rsidR="00000000" w:rsidRPr="00000000">
        <w:rPr>
          <w:rtl w:val="0"/>
        </w:rPr>
        <w:t xml:space="preserve"> Integrating mental health services in schools to address trauma and improve student well-being.</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Climate Adaptation:</w:t>
      </w:r>
      <w:r w:rsidDel="00000000" w:rsidR="00000000" w:rsidRPr="00000000">
        <w:rPr>
          <w:rtl w:val="0"/>
        </w:rPr>
        <w:t xml:space="preserve"> Constructing climate-resilient schools and incorporating environmental education into curricula.</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Youth Empowerment:</w:t>
      </w:r>
      <w:r w:rsidDel="00000000" w:rsidR="00000000" w:rsidRPr="00000000">
        <w:rPr>
          <w:rtl w:val="0"/>
        </w:rPr>
        <w:t xml:space="preserve"> Providing vocational training in trades like carpentry, tailoring, and renewable energy to prepare youth for employment.</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Gender Equality:</w:t>
      </w:r>
      <w:r w:rsidDel="00000000" w:rsidR="00000000" w:rsidRPr="00000000">
        <w:rPr>
          <w:rtl w:val="0"/>
        </w:rPr>
        <w:t xml:space="preserve"> Promoting programs that support girls’ education, including mentorship initiatives and dignity kits.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sfn0uaj85k6d" w:id="11"/>
      <w:bookmarkEnd w:id="11"/>
      <w:r w:rsidDel="00000000" w:rsidR="00000000" w:rsidRPr="00000000">
        <w:rPr>
          <w:b w:val="1"/>
          <w:color w:val="000000"/>
          <w:sz w:val="26"/>
          <w:szCs w:val="26"/>
          <w:rtl w:val="0"/>
        </w:rPr>
        <w:t xml:space="preserve">Geographical Focus</w:t>
      </w:r>
    </w:p>
    <w:p w:rsidR="00000000" w:rsidDel="00000000" w:rsidP="00000000" w:rsidRDefault="00000000" w:rsidRPr="00000000" w14:paraId="00000036">
      <w:pPr>
        <w:spacing w:after="240" w:before="240" w:lineRule="auto"/>
        <w:rPr/>
      </w:pPr>
      <w:r w:rsidDel="00000000" w:rsidR="00000000" w:rsidRPr="00000000">
        <w:rPr>
          <w:rtl w:val="0"/>
        </w:rPr>
        <w:t xml:space="preserve">BFF operates in regions with high concentrations of IDPs, tailoring interventions to the unique needs of urban centers and semi-urban areas:</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b w:val="1"/>
          <w:rtl w:val="0"/>
        </w:rPr>
        <w:t xml:space="preserve">Jubaland State</w:t>
      </w:r>
      <w:r w:rsidDel="00000000" w:rsidR="00000000" w:rsidRPr="00000000">
        <w:rPr>
          <w:rtl w:val="0"/>
        </w:rPr>
        <w:t xml:space="preserve">: Kismayo, Dollow, and surrounding areas.</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Benadir Region</w:t>
      </w:r>
      <w:r w:rsidDel="00000000" w:rsidR="00000000" w:rsidRPr="00000000">
        <w:rPr>
          <w:rtl w:val="0"/>
        </w:rPr>
        <w:t xml:space="preserve">: Mogadishu and its neighboring districts.</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b w:val="1"/>
          <w:rtl w:val="0"/>
        </w:rPr>
        <w:t xml:space="preserve">Southwest State</w:t>
      </w:r>
      <w:r w:rsidDel="00000000" w:rsidR="00000000" w:rsidRPr="00000000">
        <w:rPr>
          <w:rtl w:val="0"/>
        </w:rPr>
        <w:t xml:space="preserve">: Baidoa and semi-urban towns.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fwu4yrd36o8e" w:id="12"/>
      <w:bookmarkEnd w:id="12"/>
      <w:r w:rsidDel="00000000" w:rsidR="00000000" w:rsidRPr="00000000">
        <w:rPr>
          <w:b w:val="1"/>
          <w:color w:val="000000"/>
          <w:sz w:val="26"/>
          <w:szCs w:val="26"/>
          <w:rtl w:val="0"/>
        </w:rPr>
        <w:t xml:space="preserve">Organizational Structure</w:t>
      </w:r>
    </w:p>
    <w:p w:rsidR="00000000" w:rsidDel="00000000" w:rsidP="00000000" w:rsidRDefault="00000000" w:rsidRPr="00000000" w14:paraId="0000003B">
      <w:pPr>
        <w:spacing w:after="240" w:before="240" w:lineRule="auto"/>
        <w:rPr/>
      </w:pPr>
      <w:r w:rsidDel="00000000" w:rsidR="00000000" w:rsidRPr="00000000">
        <w:rPr>
          <w:rtl w:val="0"/>
        </w:rPr>
        <w:t xml:space="preserve">BFF’s structure ensures operational efficiency and accountability:</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Board of Directors</w:t>
      </w:r>
      <w:r w:rsidDel="00000000" w:rsidR="00000000" w:rsidRPr="00000000">
        <w:rPr>
          <w:rtl w:val="0"/>
        </w:rPr>
        <w:t xml:space="preserve">: Provides strategic oversight and governance.</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Executive Director (Co-Founder)</w:t>
      </w:r>
      <w:r w:rsidDel="00000000" w:rsidR="00000000" w:rsidRPr="00000000">
        <w:rPr>
          <w:rtl w:val="0"/>
        </w:rPr>
        <w:t xml:space="preserve">: Oversees operations, fundraising, and partnerships.</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Programs Manager</w:t>
      </w:r>
      <w:r w:rsidDel="00000000" w:rsidR="00000000" w:rsidRPr="00000000">
        <w:rPr>
          <w:rtl w:val="0"/>
        </w:rPr>
        <w:t xml:space="preserve">: Leads education and complementary initiatives.</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Monitoring and Evaluation Officer</w:t>
      </w:r>
      <w:r w:rsidDel="00000000" w:rsidR="00000000" w:rsidRPr="00000000">
        <w:rPr>
          <w:rtl w:val="0"/>
        </w:rPr>
        <w:t xml:space="preserve">: Tracks impact and ensures accountability.</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Logistics and Procurement Officer</w:t>
      </w:r>
      <w:r w:rsidDel="00000000" w:rsidR="00000000" w:rsidRPr="00000000">
        <w:rPr>
          <w:rtl w:val="0"/>
        </w:rPr>
        <w:t xml:space="preserve">: Manages supply chains and distribution.</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Community Engagement Officer</w:t>
      </w:r>
      <w:r w:rsidDel="00000000" w:rsidR="00000000" w:rsidRPr="00000000">
        <w:rPr>
          <w:rtl w:val="0"/>
        </w:rPr>
        <w:t xml:space="preserve">: Coordinates with local stakeholders to foster program ownership.</w:t>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Field Teams</w:t>
      </w:r>
      <w:r w:rsidDel="00000000" w:rsidR="00000000" w:rsidRPr="00000000">
        <w:rPr>
          <w:rtl w:val="0"/>
        </w:rPr>
        <w:t xml:space="preserve">: Comprising education officers, community mobilizers, and local coordinators.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heading=h.gs8htxn031hc" w:id="13"/>
      <w:bookmarkEnd w:id="13"/>
      <w:r w:rsidDel="00000000" w:rsidR="00000000" w:rsidRPr="00000000">
        <w:rPr>
          <w:b w:val="1"/>
          <w:color w:val="000000"/>
          <w:sz w:val="26"/>
          <w:szCs w:val="26"/>
          <w:rtl w:val="0"/>
        </w:rPr>
        <w:t xml:space="preserve">Monitoring and Evaluation</w:t>
      </w:r>
    </w:p>
    <w:p w:rsidR="00000000" w:rsidDel="00000000" w:rsidP="00000000" w:rsidRDefault="00000000" w:rsidRPr="00000000" w14:paraId="00000044">
      <w:pPr>
        <w:spacing w:after="240" w:before="240" w:lineRule="auto"/>
        <w:rPr/>
      </w:pPr>
      <w:r w:rsidDel="00000000" w:rsidR="00000000" w:rsidRPr="00000000">
        <w:rPr>
          <w:rtl w:val="0"/>
        </w:rPr>
        <w:t xml:space="preserve">BFF employs a robust Monitoring and Evaluation (M&amp;E) system to ensure program effectiveness: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Conducting baseline studies to establish benchmarks.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Implementing real-time monitoring to track progress.</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Conducting impact assessments to inform future strategies and ensure transparency with donors.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eading=h.3grqssnuuwto" w:id="14"/>
      <w:bookmarkEnd w:id="14"/>
      <w:r w:rsidDel="00000000" w:rsidR="00000000" w:rsidRPr="00000000">
        <w:rPr>
          <w:b w:val="1"/>
          <w:color w:val="000000"/>
          <w:sz w:val="26"/>
          <w:szCs w:val="26"/>
          <w:rtl w:val="0"/>
        </w:rPr>
        <w:t xml:space="preserve">Potential Funding Partners</w:t>
      </w:r>
    </w:p>
    <w:p w:rsidR="00000000" w:rsidDel="00000000" w:rsidP="00000000" w:rsidRDefault="00000000" w:rsidRPr="00000000" w14:paraId="00000049">
      <w:pPr>
        <w:spacing w:after="240" w:before="240" w:lineRule="auto"/>
        <w:rPr/>
      </w:pPr>
      <w:r w:rsidDel="00000000" w:rsidR="00000000" w:rsidRPr="00000000">
        <w:rPr>
          <w:rtl w:val="0"/>
        </w:rPr>
        <w:t xml:space="preserve">BFF seeks partnerships with institutional donors, private foundations, and corporate entities:</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b w:val="1"/>
          <w:rtl w:val="0"/>
        </w:rPr>
        <w:t xml:space="preserve">Institutional Donors</w:t>
      </w:r>
      <w:r w:rsidDel="00000000" w:rsidR="00000000" w:rsidRPr="00000000">
        <w:rPr>
          <w:rtl w:val="0"/>
        </w:rPr>
        <w:t xml:space="preserve">: UNICEF, USAID, WFP, European Union, Global Partnership for Education.</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Private Foundations</w:t>
      </w:r>
      <w:r w:rsidDel="00000000" w:rsidR="00000000" w:rsidRPr="00000000">
        <w:rPr>
          <w:rtl w:val="0"/>
        </w:rPr>
        <w:t xml:space="preserve">: Gates Foundation, Ford Foundation, MasterCard Foundation.</w:t>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b w:val="1"/>
          <w:rtl w:val="0"/>
        </w:rPr>
        <w:t xml:space="preserve">Corporate Partnerships</w:t>
      </w:r>
      <w:r w:rsidDel="00000000" w:rsidR="00000000" w:rsidRPr="00000000">
        <w:rPr>
          <w:rtl w:val="0"/>
        </w:rPr>
        <w:t xml:space="preserve">: Supporting digital learning and infrastructure development through corporate social responsibility (CSR) programs.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ds2ywgsyut9d" w:id="15"/>
      <w:bookmarkEnd w:id="15"/>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st21l88m658q" w:id="16"/>
      <w:bookmarkEnd w:id="16"/>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9ykkwdtcwk5d"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50">
      <w:pPr>
        <w:spacing w:after="240" w:before="240" w:lineRule="auto"/>
        <w:rPr/>
      </w:pPr>
      <w:r w:rsidDel="00000000" w:rsidR="00000000" w:rsidRPr="00000000">
        <w:rPr>
          <w:rtl w:val="0"/>
        </w:rPr>
        <w:t xml:space="preserve">The </w:t>
      </w:r>
      <w:r w:rsidDel="00000000" w:rsidR="00000000" w:rsidRPr="00000000">
        <w:rPr>
          <w:b w:val="1"/>
          <w:rtl w:val="0"/>
        </w:rPr>
        <w:t xml:space="preserve">Brighter Future Foundation (BFF)</w:t>
      </w:r>
      <w:r w:rsidDel="00000000" w:rsidR="00000000" w:rsidRPr="00000000">
        <w:rPr>
          <w:rtl w:val="0"/>
        </w:rPr>
        <w:t xml:space="preserve"> envisions a Somalia where education serves as the foundation for self-reliance, resilience, and national development. By addressing barriers to access, promoting inclusivity, enhancing quality education, and strengthening education systems, BFF ensures that Somalia’s most vulnerable populations are empowered to build brighter futures. Through strategic partnerships, community-driven approaches, and a commitment to sustainability, BFF is poised to create lasting change in Somalia’s education landscape</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2lJ8J6xZzSh3MlRu98kwrLiiQg==">CgMxLjAyDmguZDVwa3FvN2E2anduMg5oLmhqeXgyY3A5NG5vMzIOaC53eTVhNnRtZmtoeTYyDmguM3VtMG1maXF0bmEzMg5oLnVvZWUyOWdiamxzOTIOaC5qbHp2MjMxNnEzdmQyDmguZ296cDU5ajR0NG54Mg5oLmxxNWlkd3Q1cGwzcjINaC5pdHNjMDE5MzI1ejIOaC5uODczZXc3OHA3eTIyDmgub2VjeTVtZzZjeTZlMg5oLnNmbjB1YWo4NWs2ZDIOaC5md3U0eXJkMzZvOGUyDmguZ3M4aHR4bjAzMWhjMg5oLjNncnFzc251dXd0bzIOaC5kczJ5d2dzeXV0OWQyDmguc3QyMWw4OG02NThxMg5oLjl5a2t3ZHRjd2s1ZDgAciExQWU0WlVRc2dYYkN3RWl2LTBLdGlINzcxcjUxVnA1N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