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B1E33"/>
          <w:sz w:val="56"/>
          <w:szCs w:val="56"/>
        </w:rPr>
        <w:t xml:space="preserve">SUPERSTORE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4304D"/>
          <w:sz w:val="32"/>
          <w:szCs w:val="32"/>
        </w:rPr>
        <w:t xml:space="preserve">COMPLETE BUSINESS ANALYSIS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C9972A"/>
          <w:sz w:val="24"/>
          <w:szCs w:val="24"/>
        </w:rPr>
        <w:t xml:space="preserve">Fortune 500-Style Business Analyst Report</w:t>
      </w:r>
    </w:p>
    <w:p>
      <w:pPr>
        <w:spacing w:after="1200"/>
        <w:jc w:val="center"/>
      </w:pPr>
      <w:r>
        <w:rPr>
          <w:color w:val="6B7A8F"/>
          <w:sz w:val="16"/>
          <w:szCs w:val="16"/>
        </w:rPr>
        <w:t xml:space="preserve">Dataset: Sample – Superstore · 9,994 order lines · 5,009 orders · 793 customers · Jan 2014 – Dec 2017 · 49 states</w:t>
      </w:r>
    </w:p>
    <w:p>
      <w:r>
        <w:br w:type="page"/>
      </w:r>
    </w:p>
    <w:p>
      <w:pPr>
        <w:pStyle w:val="Heading1"/>
        <w:pBdr>
          <w:bottom w:val="single" w:color="0B1E33" w:sz="12" w:space="4"/>
        </w:pBdr>
        <w:spacing w:after="200" w:before="44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Executive Summary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Superstore generated $2.30M in sales and $286.4K in profit across 5,009 orders and 793 customers between January 2014 and December 2017 — a 12.5% blended profit margin. Revenue grew in three of the four years, accelerating from a -2.8% dip in 2015 to +29.5% growth in 2016 and +20.4% in 2017. Profit, however, is no longer keeping pace: it grew faster than sales in 2015-2016 but slower in 2017 (14.2% profit growth vs. 20.4% sales growth), the first clear sign that margin is compressing as the business scales.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root cause is discounting, not cost inflation. The company-wide average discount is 15.6%, but transactions above a ~20% discount collectively turn unprofitable, and transactions at 50%+ discount lose more than the full sale price on average. This isn't diffuse — it is heavily concentrated: the Furniture category (2.5% margin vs. 17%+ for Technology and Office Supplies), the state of Texas (-15.1% margin on $170K of sales at a 37% average discount), and the Binders sub-category (613 transactions at 70-80% discount, $38.5K in cumulative losses) together account for a disproportionate share of the company's total profit leakage.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customer base is loyal — 98.5% of customers are repeat buyers, averaging 6.3 orders each — but not universally profitable: 155 of 793 customers (19.5%) have net-negative lifetime profit, including the single highest-revenue customer in the dataset. Geographically, 10 of 49 states operate at a net loss. Shipping economics are healthy and not a margin driver. In short: this is a growth business with a controllable, well-defined profitability problem — aggressive, poorly governed discounting in specific pockets of the business — rather than a demand problem.</w:t>
      </w:r>
    </w:p>
    <w:p>
      <w:pPr>
        <w:pStyle w:val="Heading1"/>
        <w:pBdr>
          <w:bottom w:val="single" w:color="0B1E33" w:sz="12" w:space="4"/>
        </w:pBdr>
        <w:spacing w:after="200" w:before="44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Dataset Overview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Number of records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9,994 order line items (Row ID 1–9994)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Number of columns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21 fields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100% complete on all 21 fields; 0 fully duplicated rows; clean numeric ranges (Sales &gt; 0, Quantity &gt; 0, Discount between 0 and 0.8) with no invalid values found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None — every column returns 0 nulls across all 9,994 rows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Duplicate records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 exact duplicate rows. 8 cases where the same Order ID + Product ID pair appears more than once — most likely the same product added to a cart twice at a different discount or quantity, not a load error, but worth a one-line validation before final reporting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Data types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Order Date / Ship Date are stored as text (mm/dd/yyyy) and must be cast to Date; Postal Code is stored as a number, which truncates the leading zero on 449 Northeast ZIP codes (4.5% of records) — this must be cast to Text before any geographic join or map visual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Key business dimensions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Order ID (5,009), Customer ID/Name (793), Product ID/Name (1,862 / 1,850), Category (3), Sub-Category (17), Region (4), State (49), City (531), Segment (3), Ship Mode (4)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Business metrics available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Sales, Profit, Discount, Quantity — sufficient for revenue, profitability, and discount-elasticity analysis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Notable gaps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cost/COGS breakdown, no returns or refunds field, no customer acquisition date, no marketing spend, and no budget/target figures — this limits true CAC/LTV modeling and forecast-vs-actual analysis; profit here is a bottom-line figure, not decomposable into cost drivers</w:t>
            </w:r>
          </w:p>
        </w:tc>
      </w:tr>
    </w:tbl>
    <w:p>
      <w:pPr>
        <w:pStyle w:val="Heading1"/>
        <w:pBdr>
          <w:bottom w:val="single" w:color="0B1E33" w:sz="12" w:space="4"/>
        </w:pBdr>
        <w:spacing w:after="200" w:before="44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KPI Analysis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Core Executive KPIs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2200"/>
        <w:gridCol w:w="5480"/>
      </w:tblGrid>
      <w:tr>
        <w:trPr>
          <w:tblHeader/>
        </w:trPr>
        <w:tc>
          <w:tcPr>
            <w:tcW w:type="dxa" w:w="24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2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4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Total Sales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$2,297,200.86</w:t>
            </w:r>
          </w:p>
        </w:tc>
        <w:tc>
          <w:tcPr>
            <w:tcW w:type="dxa" w:w="54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top-line growth signal; every other metric on this page is judged against it</w:t>
            </w:r>
          </w:p>
        </w:tc>
      </w:tr>
      <w:tr>
        <w:tc>
          <w:tcPr>
            <w:tcW w:type="dxa" w:w="2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$286,397.02</w:t>
            </w:r>
          </w:p>
        </w:tc>
        <w:tc>
          <w:tcPr>
            <w:tcW w:type="dxa" w:w="54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actual value created — sales without this number is vanity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Profit Margin %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12.47%</w:t>
            </w:r>
          </w:p>
        </w:tc>
        <w:tc>
          <w:tcPr>
            <w:tcW w:type="dxa" w:w="54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Tells you how efficiently sales convert to profit; the single number that most directly reflects pricing and discount discipline</w:t>
            </w:r>
          </w:p>
        </w:tc>
      </w:tr>
      <w:tr>
        <w:tc>
          <w:tcPr>
            <w:tcW w:type="dxa" w:w="2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5,009</w:t>
            </w:r>
          </w:p>
        </w:tc>
        <w:tc>
          <w:tcPr>
            <w:tcW w:type="dxa" w:w="54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Demand volume; paired with AOV, separates 'selling more' from 'selling bigger'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Total Customers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793</w:t>
            </w:r>
          </w:p>
        </w:tc>
        <w:tc>
          <w:tcPr>
            <w:tcW w:type="dxa" w:w="54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Base size; paired with orders, reveals repeat-purchase strength</w:t>
            </w:r>
          </w:p>
        </w:tc>
      </w:tr>
      <w:tr>
        <w:tc>
          <w:tcPr>
            <w:tcW w:type="dxa" w:w="2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Average Order Value</w:t>
            </w:r>
          </w:p>
        </w:tc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$458.61</w:t>
            </w:r>
          </w:p>
        </w:tc>
        <w:tc>
          <w:tcPr>
            <w:tcW w:type="dxa" w:w="54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Basket size; a lever distinct from customer count for growing revenue</w:t>
            </w:r>
          </w:p>
        </w:tc>
      </w:tr>
    </w:tbl>
    <w:p>
      <w:pPr>
        <w:spacing w:after="140"/>
      </w:pP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Additional Executive KPIs Worth Tracking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2200"/>
        <w:gridCol w:w="5480"/>
      </w:tblGrid>
      <w:tr>
        <w:trPr>
          <w:tblHeader/>
        </w:trPr>
        <w:tc>
          <w:tcPr>
            <w:tcW w:type="dxa" w:w="24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Suggested KPI</w:t>
            </w:r>
          </w:p>
        </w:tc>
        <w:tc>
          <w:tcPr>
            <w:tcW w:type="dxa" w:w="22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Value</w:t>
            </w:r>
          </w:p>
        </w:tc>
        <w:tc>
          <w:tcPr>
            <w:tcW w:type="dxa" w:w="54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Unprofitable Line-Item %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18.72% of all line items (1,871 of 9,994)</w:t>
            </w:r>
          </w:p>
        </w:tc>
        <w:tc>
          <w:tcPr>
            <w:tcW w:type="dxa" w:w="54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margin health metric that a blended Profit Margin % can hide — nearly 1 in 5 transactions actively lose money</w:t>
            </w:r>
          </w:p>
        </w:tc>
      </w:tr>
      <w:tr>
        <w:tc>
          <w:tcPr>
            <w:tcW w:type="dxa" w:w="2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Top 20% Customer Concentration</w:t>
            </w:r>
          </w:p>
        </w:tc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47.96% of total sales</w:t>
            </w:r>
          </w:p>
        </w:tc>
        <w:tc>
          <w:tcPr>
            <w:tcW w:type="dxa" w:w="54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Revenue concentration risk — how exposed the business is if a handful of accounts churn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Average Discount %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15.62%</w:t>
            </w:r>
          </w:p>
        </w:tc>
        <w:tc>
          <w:tcPr>
            <w:tcW w:type="dxa" w:w="54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single biggest lever on margin in this dataset; should be tracked and capped, not just reported</w:t>
            </w:r>
          </w:p>
        </w:tc>
      </w:tr>
      <w:tr>
        <w:tc>
          <w:tcPr>
            <w:tcW w:type="dxa" w:w="2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Orders per Customer</w:t>
            </w:r>
          </w:p>
        </w:tc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6.32 average (median 6)</w:t>
            </w:r>
          </w:p>
        </w:tc>
        <w:tc>
          <w:tcPr>
            <w:tcW w:type="dxa" w:w="54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loyalty/retention proxy in the absence of a true repeat-purchase-rate field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Discount-Driven Loss ($)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-$156,131 total loss from unprofitable lines</w:t>
            </w:r>
          </w:p>
        </w:tc>
        <w:tc>
          <w:tcPr>
            <w:tcW w:type="dxa" w:w="54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Quantifies the dollar size of the discounting problem directly, in a way % margin alone does not</w:t>
            </w:r>
          </w:p>
        </w:tc>
      </w:tr>
      <w:tr>
        <w:tc>
          <w:tcPr>
            <w:tcW w:type="dxa" w:w="2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Negative-Profit Customer %</w:t>
            </w:r>
          </w:p>
        </w:tc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19.5% of customers (155 of 793)</w:t>
            </w:r>
          </w:p>
        </w:tc>
        <w:tc>
          <w:tcPr>
            <w:tcW w:type="dxa" w:w="54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Flags how much of the loyal customer base is quietly unprofitable</w:t>
            </w:r>
          </w:p>
        </w:tc>
      </w:tr>
    </w:tbl>
    <w:p>
      <w:pPr>
        <w:pStyle w:val="Heading1"/>
        <w:pBdr>
          <w:bottom w:val="single" w:color="0B1E33" w:sz="12" w:space="4"/>
        </w:pBdr>
        <w:spacing w:after="200" w:before="44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Trend Analysis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Yearly Trend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1300"/>
        <w:gridCol w:w="1780"/>
        <w:gridCol w:w="1780"/>
        <w:gridCol w:w="1580"/>
        <w:gridCol w:w="1820"/>
        <w:gridCol w:w="1820"/>
      </w:tblGrid>
      <w:tr>
        <w:trPr>
          <w:tblHeader/>
        </w:trPr>
        <w:tc>
          <w:tcPr>
            <w:tcW w:type="dxa" w:w="13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7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17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  <w:tc>
          <w:tcPr>
            <w:tcW w:type="dxa" w:w="15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  <w:tc>
          <w:tcPr>
            <w:tcW w:type="dxa" w:w="182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Sales YoY</w:t>
            </w:r>
          </w:p>
        </w:tc>
        <w:tc>
          <w:tcPr>
            <w:tcW w:type="dxa" w:w="182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Profit YoY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2014</w:t>
            </w:r>
          </w:p>
        </w:tc>
        <w:tc>
          <w:tcPr>
            <w:tcW w:type="dxa" w:w="1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$484,247</w:t>
            </w:r>
          </w:p>
        </w:tc>
        <w:tc>
          <w:tcPr>
            <w:tcW w:type="dxa" w:w="1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$49,544</w:t>
            </w:r>
          </w:p>
        </w:tc>
        <w:tc>
          <w:tcPr>
            <w:tcW w:type="dxa" w:w="15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10.23%</w:t>
            </w:r>
          </w:p>
        </w:tc>
        <w:tc>
          <w:tcPr>
            <w:tcW w:type="dxa" w:w="18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8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2015</w:t>
            </w:r>
          </w:p>
        </w:tc>
        <w:tc>
          <w:tcPr>
            <w:tcW w:type="dxa" w:w="17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$470,533</w:t>
            </w:r>
          </w:p>
        </w:tc>
        <w:tc>
          <w:tcPr>
            <w:tcW w:type="dxa" w:w="17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$61,619</w:t>
            </w:r>
          </w:p>
        </w:tc>
        <w:tc>
          <w:tcPr>
            <w:tcW w:type="dxa" w:w="15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13.10%</w:t>
            </w:r>
          </w:p>
        </w:tc>
        <w:tc>
          <w:tcPr>
            <w:tcW w:type="dxa" w:w="182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-2.83%</w:t>
            </w:r>
          </w:p>
        </w:tc>
        <w:tc>
          <w:tcPr>
            <w:tcW w:type="dxa" w:w="182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+24.37%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2016</w:t>
            </w:r>
          </w:p>
        </w:tc>
        <w:tc>
          <w:tcPr>
            <w:tcW w:type="dxa" w:w="1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$609,206</w:t>
            </w:r>
          </w:p>
        </w:tc>
        <w:tc>
          <w:tcPr>
            <w:tcW w:type="dxa" w:w="1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$81,795</w:t>
            </w:r>
          </w:p>
        </w:tc>
        <w:tc>
          <w:tcPr>
            <w:tcW w:type="dxa" w:w="15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13.43%</w:t>
            </w:r>
          </w:p>
        </w:tc>
        <w:tc>
          <w:tcPr>
            <w:tcW w:type="dxa" w:w="18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+29.47%</w:t>
            </w:r>
          </w:p>
        </w:tc>
        <w:tc>
          <w:tcPr>
            <w:tcW w:type="dxa" w:w="18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+32.74%</w:t>
            </w:r>
          </w:p>
        </w:tc>
      </w:tr>
      <w:tr>
        <w:tc>
          <w:tcPr>
            <w:tcW w:type="dxa" w:w="13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2017</w:t>
            </w:r>
          </w:p>
        </w:tc>
        <w:tc>
          <w:tcPr>
            <w:tcW w:type="dxa" w:w="17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$733,215</w:t>
            </w:r>
          </w:p>
        </w:tc>
        <w:tc>
          <w:tcPr>
            <w:tcW w:type="dxa" w:w="17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$93,439</w:t>
            </w:r>
          </w:p>
        </w:tc>
        <w:tc>
          <w:tcPr>
            <w:tcW w:type="dxa" w:w="15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12.74%</w:t>
            </w:r>
          </w:p>
        </w:tc>
        <w:tc>
          <w:tcPr>
            <w:tcW w:type="dxa" w:w="182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+20.36%</w:t>
            </w:r>
          </w:p>
        </w:tc>
        <w:tc>
          <w:tcPr>
            <w:tcW w:type="dxa" w:w="182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+14.24%</w:t>
            </w:r>
          </w:p>
        </w:tc>
      </w:tr>
    </w:tbl>
    <w:p>
      <w:pPr>
        <w:spacing w:after="14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2015 is the pivotal year: sales dipped slightly (-2.8%) but profit rose sharply (+24.4%) and margin hit its four-year high (13.1%) — evidence the business was more disciplined on pricing that year. From 2016 onward, sales growth reaccelerated but margin has been sliding back down (13.4% → 12.7%), meaning the 2017 growth was bought at a higher discount cost than the 2016 growth.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Seasonal / Monthly Trend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Demand is strongly seasonal: September, November, and December are consistently the three strongest months in every year of the dataset, with November the single strongest month overall ($352K in cumulative sales across all four years). January and February are consistently the weakest months. Only two individual months in the entire four-year history posted a net loss — July 2014 and January 2015 — otherwise every month was profitable, though profit varies more than sales month to month, again pointing to inconsistent discounting rather than inconsistent demand.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Top 3 single months by sales: November 2017 ($118.4K), December 2016 ($97.0K), September 2017 ($87.9K).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Business implication: inventory build and staffing should ramp ahead of September and again ahead of the November-December peak, and any promotional discounting should be tightened, not loosened, during these already-strong months.</w:t>
      </w:r>
    </w:p>
    <w:p>
      <w:pPr>
        <w:pStyle w:val="Heading1"/>
        <w:pBdr>
          <w:bottom w:val="single" w:color="0B1E33" w:sz="12" w:space="4"/>
        </w:pBdr>
        <w:spacing w:after="200" w:before="44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Customer Analysis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Customer Segments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1800"/>
        <w:gridCol w:w="1780"/>
        <w:gridCol w:w="1780"/>
        <w:gridCol w:w="1400"/>
        <w:gridCol w:w="1660"/>
        <w:gridCol w:w="1660"/>
      </w:tblGrid>
      <w:tr>
        <w:trPr>
          <w:tblHeader/>
        </w:trPr>
        <w:tc>
          <w:tcPr>
            <w:tcW w:type="dxa" w:w="18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7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17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  <w:tc>
          <w:tcPr>
            <w:tcW w:type="dxa" w:w="14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  <w:tc>
          <w:tcPr>
            <w:tcW w:type="dxa" w:w="166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  <w:tc>
          <w:tcPr>
            <w:tcW w:type="dxa" w:w="166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Consumer</w:t>
            </w:r>
          </w:p>
        </w:tc>
        <w:tc>
          <w:tcPr>
            <w:tcW w:type="dxa" w:w="1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$1,161,401</w:t>
            </w:r>
          </w:p>
        </w:tc>
        <w:tc>
          <w:tcPr>
            <w:tcW w:type="dxa" w:w="1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$134,119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11.55%</w:t>
            </w:r>
          </w:p>
        </w:tc>
        <w:tc>
          <w:tcPr>
            <w:tcW w:type="dxa" w:w="1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2,586</w:t>
            </w:r>
          </w:p>
        </w:tc>
        <w:tc>
          <w:tcPr>
            <w:tcW w:type="dxa" w:w="1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409</w:t>
            </w:r>
          </w:p>
        </w:tc>
      </w:tr>
      <w:tr>
        <w:tc>
          <w:tcPr>
            <w:tcW w:type="dxa" w:w="18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Corporate</w:t>
            </w:r>
          </w:p>
        </w:tc>
        <w:tc>
          <w:tcPr>
            <w:tcW w:type="dxa" w:w="17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$706,146</w:t>
            </w:r>
          </w:p>
        </w:tc>
        <w:tc>
          <w:tcPr>
            <w:tcW w:type="dxa" w:w="17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$91,979</w:t>
            </w:r>
          </w:p>
        </w:tc>
        <w:tc>
          <w:tcPr>
            <w:tcW w:type="dxa" w:w="1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13.03%</w:t>
            </w:r>
          </w:p>
        </w:tc>
        <w:tc>
          <w:tcPr>
            <w:tcW w:type="dxa" w:w="16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1,514</w:t>
            </w:r>
          </w:p>
        </w:tc>
        <w:tc>
          <w:tcPr>
            <w:tcW w:type="dxa" w:w="16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236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Home Office</w:t>
            </w:r>
          </w:p>
        </w:tc>
        <w:tc>
          <w:tcPr>
            <w:tcW w:type="dxa" w:w="1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$429,653</w:t>
            </w:r>
          </w:p>
        </w:tc>
        <w:tc>
          <w:tcPr>
            <w:tcW w:type="dxa" w:w="17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$60,299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14.03%</w:t>
            </w:r>
          </w:p>
        </w:tc>
        <w:tc>
          <w:tcPr>
            <w:tcW w:type="dxa" w:w="1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909</w:t>
            </w:r>
          </w:p>
        </w:tc>
        <w:tc>
          <w:tcPr>
            <w:tcW w:type="dxa" w:w="1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148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Consumer is the volume engine (largest sales, most customers) but the lowest-margin segment; Home Office is the smallest segment but the most profitable per dollar of sales — a smaller, higher-quality book of business.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Top 10 Customers by Sales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900"/>
        <w:gridCol w:w="1900"/>
        <w:gridCol w:w="2900"/>
        <w:gridCol w:w="2380"/>
      </w:tblGrid>
      <w:tr>
        <w:trPr>
          <w:tblHeader/>
        </w:trPr>
        <w:tc>
          <w:tcPr>
            <w:tcW w:type="dxa" w:w="29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9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29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  <w:tc>
          <w:tcPr>
            <w:tcW w:type="dxa" w:w="23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Sean Miller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$25,043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-$1,981 (loss)</w:t>
            </w:r>
          </w:p>
        </w:tc>
        <w:tc>
          <w:tcPr>
            <w:tcW w:type="dxa" w:w="2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Tamara Chand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$19,052</w:t>
            </w:r>
          </w:p>
        </w:tc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$8,981</w:t>
            </w:r>
          </w:p>
        </w:tc>
        <w:tc>
          <w:tcPr>
            <w:tcW w:type="dxa" w:w="23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Raymond Buch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$15,117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$6,976</w:t>
            </w:r>
          </w:p>
        </w:tc>
        <w:tc>
          <w:tcPr>
            <w:tcW w:type="dxa" w:w="2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Tom Ashbrook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$14,596</w:t>
            </w:r>
          </w:p>
        </w:tc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$4,704</w:t>
            </w:r>
          </w:p>
        </w:tc>
        <w:tc>
          <w:tcPr>
            <w:tcW w:type="dxa" w:w="23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Adrian Barton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$14,474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$5,445</w:t>
            </w:r>
          </w:p>
        </w:tc>
        <w:tc>
          <w:tcPr>
            <w:tcW w:type="dxa" w:w="2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Ken Lonsdale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$14,175</w:t>
            </w:r>
          </w:p>
        </w:tc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$807</w:t>
            </w:r>
          </w:p>
        </w:tc>
        <w:tc>
          <w:tcPr>
            <w:tcW w:type="dxa" w:w="23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Sanjit Chand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$14,142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$5,757</w:t>
            </w:r>
          </w:p>
        </w:tc>
        <w:tc>
          <w:tcPr>
            <w:tcW w:type="dxa" w:w="2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Hunter Lopez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$12,873</w:t>
            </w:r>
          </w:p>
        </w:tc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$5,622</w:t>
            </w:r>
          </w:p>
        </w:tc>
        <w:tc>
          <w:tcPr>
            <w:tcW w:type="dxa" w:w="23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Sanjit Engle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$12,209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$2,651</w:t>
            </w:r>
          </w:p>
        </w:tc>
        <w:tc>
          <w:tcPr>
            <w:tcW w:type="dxa" w:w="23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Christopher Conant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$12,129</w:t>
            </w:r>
          </w:p>
        </w:tc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$2,177</w:t>
            </w:r>
          </w:p>
        </w:tc>
        <w:tc>
          <w:tcPr>
            <w:tcW w:type="dxa" w:w="23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Sean Miller is the highest-revenue customer in the entire dataset yet operates at a net loss — a red-flag account that deserves a manual pricing review rather than continued blanket discounting.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Customer Contribution &amp; Distribution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Top 10 customers = 6.70% of total sales; top 20% of customers (158 people) = 47.96% of total sales — meaningful concentration, though not an extreme 80/20 skew.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793 unique customers placed 5,009 orders — an average of 6.32 orders per customer (median 6), indicating a genuinely repeat-purchase customer base.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Only 12 customers (1.5%) are one-time buyers — retention is a strength here, not a risk.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Customer Behavior — Profitability Risk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155 of 793 customers (19.5%) have net-negative lifetime profit, despite the strong loyalty numbers above.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Worst customer by lifetime profit: Cindy Stewart (-$6,626), followed by Grant Thornton (-$4,109) and Luke Foster (-$3,584) — all driven by high-discount purchase patterns, not one-off anomalies.</w:t>
      </w:r>
    </w:p>
    <w:p>
      <w:pPr>
        <w:pStyle w:val="Heading1"/>
        <w:pBdr>
          <w:bottom w:val="single" w:color="0B1E33" w:sz="12" w:space="4"/>
        </w:pBdr>
        <w:spacing w:after="200" w:before="44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Product Analysis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Top Categories</w:t>
      </w:r>
    </w:p>
    <w:tbl>
      <w:tblPr>
        <w:tblW w:type="dxa" w:w="944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200"/>
        <w:gridCol w:w="1980"/>
        <w:gridCol w:w="1980"/>
        <w:gridCol w:w="1560"/>
        <w:gridCol w:w="1720"/>
      </w:tblGrid>
      <w:tr>
        <w:trPr>
          <w:tblHeader/>
        </w:trPr>
        <w:tc>
          <w:tcPr>
            <w:tcW w:type="dxa" w:w="22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9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19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  <w:tc>
          <w:tcPr>
            <w:tcW w:type="dxa" w:w="156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  <w:tc>
          <w:tcPr>
            <w:tcW w:type="dxa" w:w="172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9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$836,154</w:t>
            </w:r>
          </w:p>
        </w:tc>
        <w:tc>
          <w:tcPr>
            <w:tcW w:type="dxa" w:w="19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$145,455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17.40%</w:t>
            </w:r>
          </w:p>
        </w:tc>
        <w:tc>
          <w:tcPr>
            <w:tcW w:type="dxa" w:w="17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6,939</w:t>
            </w:r>
          </w:p>
        </w:tc>
      </w:tr>
      <w:tr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Office Supplies</w:t>
            </w:r>
          </w:p>
        </w:tc>
        <w:tc>
          <w:tcPr>
            <w:tcW w:type="dxa" w:w="19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$719,047</w:t>
            </w:r>
          </w:p>
        </w:tc>
        <w:tc>
          <w:tcPr>
            <w:tcW w:type="dxa" w:w="19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$122,491</w:t>
            </w:r>
          </w:p>
        </w:tc>
        <w:tc>
          <w:tcPr>
            <w:tcW w:type="dxa" w:w="15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17.04%</w:t>
            </w:r>
          </w:p>
        </w:tc>
        <w:tc>
          <w:tcPr>
            <w:tcW w:type="dxa" w:w="172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22,906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Furniture</w:t>
            </w:r>
          </w:p>
        </w:tc>
        <w:tc>
          <w:tcPr>
            <w:tcW w:type="dxa" w:w="19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$741,999</w:t>
            </w:r>
          </w:p>
        </w:tc>
        <w:tc>
          <w:tcPr>
            <w:tcW w:type="dxa" w:w="19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$18,451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2.49%</w:t>
            </w:r>
          </w:p>
        </w:tc>
        <w:tc>
          <w:tcPr>
            <w:tcW w:type="dxa" w:w="17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8,028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Furniture is the structural problem category: its revenue is comparable to Office Supplies, but its margin is 1/7th the size — a chronic profitability drag, not a one-off.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Top Sub-Categories by Sales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Phones ($330.0K, 13.5% margin) — largest sub-category, healthy margin.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Chairs ($328.4K, 8.1% margin) — large revenue, thin margin.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Storage ($223.8K, 9.5% margin).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Tables ($207.0K, -8.6% margin) — large revenue, but net loss-making overall.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Binders ($203.4K, 14.9% margin blended — masking a severe high-discount sub-segment detailed in the Discount Analysis section).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Worst-Performing Sub-Categories by Profit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600"/>
        <w:gridCol w:w="2500"/>
        <w:gridCol w:w="2500"/>
        <w:gridCol w:w="2480"/>
      </w:tblGrid>
      <w:tr>
        <w:trPr>
          <w:tblHeader/>
        </w:trPr>
        <w:tc>
          <w:tcPr>
            <w:tcW w:type="dxa" w:w="26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Sub-Category</w:t>
            </w:r>
          </w:p>
        </w:tc>
        <w:tc>
          <w:tcPr>
            <w:tcW w:type="dxa" w:w="25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25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  <w:tc>
          <w:tcPr>
            <w:tcW w:type="dxa" w:w="24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Tables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$206,966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-$17,725</w:t>
            </w:r>
          </w:p>
        </w:tc>
        <w:tc>
          <w:tcPr>
            <w:tcW w:type="dxa" w:w="24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-8.56%</w:t>
            </w:r>
          </w:p>
        </w:tc>
      </w:tr>
      <w:tr>
        <w:tc>
          <w:tcPr>
            <w:tcW w:type="dxa" w:w="2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Bookcases</w:t>
            </w:r>
          </w:p>
        </w:tc>
        <w:tc>
          <w:tcPr>
            <w:tcW w:type="dxa" w:w="2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$114,880</w:t>
            </w:r>
          </w:p>
        </w:tc>
        <w:tc>
          <w:tcPr>
            <w:tcW w:type="dxa" w:w="2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-$3,473</w:t>
            </w:r>
          </w:p>
        </w:tc>
        <w:tc>
          <w:tcPr>
            <w:tcW w:type="dxa" w:w="24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-3.02%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Supplies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$46,674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-$1,189</w:t>
            </w:r>
          </w:p>
        </w:tc>
        <w:tc>
          <w:tcPr>
            <w:tcW w:type="dxa" w:w="24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-2.55%</w:t>
            </w:r>
          </w:p>
        </w:tc>
      </w:tr>
    </w:tbl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Best-Selling Products (by Revenue)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Canon imageCLASS 2200 Advanced Copier — $61,600 in sales, $25,200 profit (its single best-performing product company-wide).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Fellowes PB500 Electric Punch Binding Machine — $27,453 in sales, $7,753 profit.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Cisco TelePresence System EX90 — $22,638 in sales, but -$1,811 in profit — a top-10 revenue product that is nonetheless a loss-maker.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Best-Selling Products (by Units)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Staples, Staple envelope, and Easy-staple paper lead by volume (150-215 units each) — low-cost, high-frequency consumables, not big-ticket revenue drivers.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High-Profit Products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Canon imageCLASS 2200 Copier ($25,200 profit), Fellowes PB500 Binding Machine ($7,753), Hewlett Packard LaserJet 3310 Copier ($6,984), Canon PC1060 Personal Laser Copier ($4,571) — copiers and binding machines are consistently the most profitable individual SKUs.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Low-Profit / Loss-Making Products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4800"/>
        <w:gridCol w:w="2600"/>
        <w:gridCol w:w="2680"/>
      </w:tblGrid>
      <w:tr>
        <w:trPr>
          <w:tblHeader/>
        </w:trPr>
        <w:tc>
          <w:tcPr>
            <w:tcW w:type="dxa" w:w="48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6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26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</w:tr>
      <w:tr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Cubify CubeX 3D Printer, Double Head Print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$11,100</w:t>
            </w:r>
          </w:p>
        </w:tc>
        <w:tc>
          <w:tcPr>
            <w:tcW w:type="dxa" w:w="2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-$8,880</w:t>
            </w:r>
          </w:p>
        </w:tc>
      </w:tr>
      <w:tr>
        <w:tc>
          <w:tcPr>
            <w:tcW w:type="dxa" w:w="48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Lexmark MX611dhe Monochrome Laser Printer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$16,830</w:t>
            </w:r>
          </w:p>
        </w:tc>
        <w:tc>
          <w:tcPr>
            <w:tcW w:type="dxa" w:w="26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-$4,590</w:t>
            </w:r>
          </w:p>
        </w:tc>
      </w:tr>
      <w:tr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Cubify CubeX 3D Printer, Triple Head Print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$8,000</w:t>
            </w:r>
          </w:p>
        </w:tc>
        <w:tc>
          <w:tcPr>
            <w:tcW w:type="dxa" w:w="2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-$3,840</w:t>
            </w:r>
          </w:p>
        </w:tc>
      </w:tr>
      <w:tr>
        <w:tc>
          <w:tcPr>
            <w:tcW w:type="dxa" w:w="48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Chromcraft Bull-Nose Wood Oval Conference Tables &amp; Bases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$9,918</w:t>
            </w:r>
          </w:p>
        </w:tc>
        <w:tc>
          <w:tcPr>
            <w:tcW w:type="dxa" w:w="26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-$2,876</w:t>
            </w:r>
          </w:p>
        </w:tc>
      </w:tr>
      <w:tr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Bush Advantage Collection Racetrack Conference Table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$9,545</w:t>
            </w:r>
          </w:p>
        </w:tc>
        <w:tc>
          <w:tcPr>
            <w:tcW w:type="dxa" w:w="2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-$1,934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139 distinct products each generate over $1,000 in sales yet post net-negative profit overall — a substantial loss-leader problem spread across the catalog, not confined to one or two SKUs.</w:t>
      </w:r>
    </w:p>
    <w:p>
      <w:pPr>
        <w:pStyle w:val="Heading1"/>
        <w:pBdr>
          <w:bottom w:val="single" w:color="0B1E33" w:sz="12" w:space="4"/>
        </w:pBdr>
        <w:spacing w:after="200" w:before="44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Geographic Analysis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Region</w:t>
      </w:r>
    </w:p>
    <w:tbl>
      <w:tblPr>
        <w:tblW w:type="dxa" w:w="9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1600"/>
        <w:gridCol w:w="1980"/>
        <w:gridCol w:w="1980"/>
        <w:gridCol w:w="1560"/>
        <w:gridCol w:w="1960"/>
      </w:tblGrid>
      <w:tr>
        <w:trPr>
          <w:tblHeader/>
        </w:trPr>
        <w:tc>
          <w:tcPr>
            <w:tcW w:type="dxa" w:w="16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19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19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  <w:tc>
          <w:tcPr>
            <w:tcW w:type="dxa" w:w="156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  <w:tc>
          <w:tcPr>
            <w:tcW w:type="dxa" w:w="196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West</w:t>
            </w:r>
          </w:p>
        </w:tc>
        <w:tc>
          <w:tcPr>
            <w:tcW w:type="dxa" w:w="19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$725,458</w:t>
            </w:r>
          </w:p>
        </w:tc>
        <w:tc>
          <w:tcPr>
            <w:tcW w:type="dxa" w:w="19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$108,418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14.94%</w:t>
            </w:r>
          </w:p>
        </w:tc>
        <w:tc>
          <w:tcPr>
            <w:tcW w:type="dxa" w:w="1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1,611</w:t>
            </w:r>
          </w:p>
        </w:tc>
      </w:tr>
      <w:tr>
        <w:tc>
          <w:tcPr>
            <w:tcW w:type="dxa" w:w="1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East</w:t>
            </w:r>
          </w:p>
        </w:tc>
        <w:tc>
          <w:tcPr>
            <w:tcW w:type="dxa" w:w="19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$678,781</w:t>
            </w:r>
          </w:p>
        </w:tc>
        <w:tc>
          <w:tcPr>
            <w:tcW w:type="dxa" w:w="19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$91,523</w:t>
            </w:r>
          </w:p>
        </w:tc>
        <w:tc>
          <w:tcPr>
            <w:tcW w:type="dxa" w:w="15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13.48%</w:t>
            </w:r>
          </w:p>
        </w:tc>
        <w:tc>
          <w:tcPr>
            <w:tcW w:type="dxa" w:w="19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1,401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South</w:t>
            </w:r>
          </w:p>
        </w:tc>
        <w:tc>
          <w:tcPr>
            <w:tcW w:type="dxa" w:w="19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$391,722</w:t>
            </w:r>
          </w:p>
        </w:tc>
        <w:tc>
          <w:tcPr>
            <w:tcW w:type="dxa" w:w="19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$46,749</w:t>
            </w:r>
          </w:p>
        </w:tc>
        <w:tc>
          <w:tcPr>
            <w:tcW w:type="dxa" w:w="1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11.93%</w:t>
            </w:r>
          </w:p>
        </w:tc>
        <w:tc>
          <w:tcPr>
            <w:tcW w:type="dxa" w:w="1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822</w:t>
            </w:r>
          </w:p>
        </w:tc>
      </w:tr>
      <w:tr>
        <w:tc>
          <w:tcPr>
            <w:tcW w:type="dxa" w:w="1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Central</w:t>
            </w:r>
          </w:p>
        </w:tc>
        <w:tc>
          <w:tcPr>
            <w:tcW w:type="dxa" w:w="19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$501,240</w:t>
            </w:r>
          </w:p>
        </w:tc>
        <w:tc>
          <w:tcPr>
            <w:tcW w:type="dxa" w:w="19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$39,706</w:t>
            </w:r>
          </w:p>
        </w:tc>
        <w:tc>
          <w:tcPr>
            <w:tcW w:type="dxa" w:w="15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7.92%</w:t>
            </w:r>
          </w:p>
        </w:tc>
        <w:tc>
          <w:tcPr>
            <w:tcW w:type="dxa" w:w="196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1,175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Central is the weakest region by margin despite having the second-highest order count — a volume-without-profitability pattern that points to regional discounting practices rather than a demand problem.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State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2500"/>
        <w:gridCol w:w="2500"/>
        <w:gridCol w:w="2680"/>
      </w:tblGrid>
      <w:tr>
        <w:trPr>
          <w:tblHeader/>
        </w:trPr>
        <w:tc>
          <w:tcPr>
            <w:tcW w:type="dxa" w:w="24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5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25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  <w:tc>
          <w:tcPr>
            <w:tcW w:type="dxa" w:w="26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California (top)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$457,688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$76,381</w:t>
            </w:r>
          </w:p>
        </w:tc>
        <w:tc>
          <w:tcPr>
            <w:tcW w:type="dxa" w:w="2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16.69%</w:t>
            </w:r>
          </w:p>
        </w:tc>
      </w:tr>
      <w:tr>
        <w:tc>
          <w:tcPr>
            <w:tcW w:type="dxa" w:w="2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New York (top)</w:t>
            </w:r>
          </w:p>
        </w:tc>
        <w:tc>
          <w:tcPr>
            <w:tcW w:type="dxa" w:w="2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$310,876</w:t>
            </w:r>
          </w:p>
        </w:tc>
        <w:tc>
          <w:tcPr>
            <w:tcW w:type="dxa" w:w="2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$74,039</w:t>
            </w:r>
          </w:p>
        </w:tc>
        <w:tc>
          <w:tcPr>
            <w:tcW w:type="dxa" w:w="26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23.82%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Texas (worst)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$170,188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-$25,729</w:t>
            </w:r>
          </w:p>
        </w:tc>
        <w:tc>
          <w:tcPr>
            <w:tcW w:type="dxa" w:w="2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-15.12%</w:t>
            </w:r>
          </w:p>
        </w:tc>
      </w:tr>
      <w:tr>
        <w:tc>
          <w:tcPr>
            <w:tcW w:type="dxa" w:w="2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Ohio</w:t>
            </w:r>
          </w:p>
        </w:tc>
        <w:tc>
          <w:tcPr>
            <w:tcW w:type="dxa" w:w="2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$78,258</w:t>
            </w:r>
          </w:p>
        </w:tc>
        <w:tc>
          <w:tcPr>
            <w:tcW w:type="dxa" w:w="2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-$16,971</w:t>
            </w:r>
          </w:p>
        </w:tc>
        <w:tc>
          <w:tcPr>
            <w:tcW w:type="dxa" w:w="26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-21.69%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Pennsylvania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$116,512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-$15,560</w:t>
            </w:r>
          </w:p>
        </w:tc>
        <w:tc>
          <w:tcPr>
            <w:tcW w:type="dxa" w:w="2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-13.35%</w:t>
            </w:r>
          </w:p>
        </w:tc>
      </w:tr>
    </w:tbl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10 of 49 states (20%) post a net loss overall: Texas, Ohio, Pennsylvania, Illinois, North Carolina, Colorado, Tennessee, Arizona, Florida, and Oregon.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Texas is the single largest problem: 3rd-largest state by revenue, but the deepest loss in dollar terms, driven by a 37.0% average discount rate — more than double the 15.6% company average.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City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New York City ($256K sales, $62K profit) and Los Angeles ($176K sales, $30K profit) are the strongest profit centers.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Philadelphia (-$13,838) and Houston (-$10,154) are the largest city-level loss centers, consistent with their parent states (Pennsylvania, Texas) both appearing on the loss-making states list.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Sales &amp; Profit Distribution / Regional Opportunities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Michigan (32.07% margin) and Washington (24.09% margin) are the two most efficient states in the dataset — high margin on comparatively modest revenue, making them strong candidates for further sales investment before pursuing lower-margin markets.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By contrast, Texas needs discount governance, not growth investment, before it can be treated as an expansion market.</w:t>
      </w:r>
    </w:p>
    <w:p>
      <w:pPr>
        <w:pStyle w:val="Heading1"/>
        <w:pBdr>
          <w:bottom w:val="single" w:color="0B1E33" w:sz="12" w:space="4"/>
        </w:pBdr>
        <w:spacing w:after="200" w:before="44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Shipping Analysis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2500"/>
        <w:gridCol w:w="2600"/>
        <w:gridCol w:w="2580"/>
      </w:tblGrid>
      <w:tr>
        <w:trPr>
          <w:tblHeader/>
        </w:trPr>
        <w:tc>
          <w:tcPr>
            <w:tcW w:type="dxa" w:w="24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Ship Mode</w:t>
            </w:r>
          </w:p>
        </w:tc>
        <w:tc>
          <w:tcPr>
            <w:tcW w:type="dxa" w:w="25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Order Share</w:t>
            </w:r>
          </w:p>
        </w:tc>
        <w:tc>
          <w:tcPr>
            <w:tcW w:type="dxa" w:w="26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 Ship Days</w:t>
            </w:r>
          </w:p>
        </w:tc>
        <w:tc>
          <w:tcPr>
            <w:tcW w:type="dxa" w:w="25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Standard Class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59.77%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5.01 days</w:t>
            </w:r>
          </w:p>
        </w:tc>
        <w:tc>
          <w:tcPr>
            <w:tcW w:type="dxa" w:w="25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12.08%</w:t>
            </w:r>
          </w:p>
        </w:tc>
      </w:tr>
      <w:tr>
        <w:tc>
          <w:tcPr>
            <w:tcW w:type="dxa" w:w="2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Second Class</w:t>
            </w:r>
          </w:p>
        </w:tc>
        <w:tc>
          <w:tcPr>
            <w:tcW w:type="dxa" w:w="2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19.25%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3.24 days</w:t>
            </w:r>
          </w:p>
        </w:tc>
        <w:tc>
          <w:tcPr>
            <w:tcW w:type="dxa" w:w="25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12.51%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First Class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15.71%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2.18 days</w:t>
            </w:r>
          </w:p>
        </w:tc>
        <w:tc>
          <w:tcPr>
            <w:tcW w:type="dxa" w:w="25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13.93%</w:t>
            </w:r>
          </w:p>
        </w:tc>
      </w:tr>
      <w:tr>
        <w:tc>
          <w:tcPr>
            <w:tcW w:type="dxa" w:w="2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Same Day</w:t>
            </w:r>
          </w:p>
        </w:tc>
        <w:tc>
          <w:tcPr>
            <w:tcW w:type="dxa" w:w="2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5.27%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0.04 days</w:t>
            </w:r>
          </w:p>
        </w:tc>
        <w:tc>
          <w:tcPr>
            <w:tcW w:type="dxa" w:w="25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12.38%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Shipping is not a margin driver in this business — all four modes cluster within a tight 12.1%-13.9% margin band, and First Class actually carries the highest margin of any mode, not the lowest. There is no clean data-quality issue in shipping (no negative or implausible ship-day values), and delivery times scale sensibly with service tier.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Because faster shipping tiers show no margin penalty, there's a low-risk opportunity to promote First Class and Same Day more actively at checkout — likely a small AOV/margin uplift with no downside evidenced in this data.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Standard Class carries nearly 60% of all orders at the slowest average delivery (5 days) — worth testing whether tightening this to 3-4 days improves satisfaction/repeat-purchase without materially changing cost, since Second Class (3.2 days) shows almost identical margin.</w:t>
      </w:r>
    </w:p>
    <w:p>
      <w:pPr>
        <w:pStyle w:val="Heading1"/>
        <w:pBdr>
          <w:bottom w:val="single" w:color="0B1E33" w:sz="12" w:space="4"/>
        </w:pBdr>
        <w:spacing w:after="200" w:before="44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Discount Analysis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Discount and Profit correlate at -0.22 (moderate negative); Discount and Sales correlate at essentially zero (-0.03) — meaning discounting in this dataset is not doing its intended job of driving incremental revenue. It mainly just erodes margin.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Profitability by Discount Band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200"/>
        <w:gridCol w:w="2600"/>
        <w:gridCol w:w="2600"/>
        <w:gridCol w:w="2680"/>
      </w:tblGrid>
      <w:tr>
        <w:trPr>
          <w:tblHeader/>
        </w:trPr>
        <w:tc>
          <w:tcPr>
            <w:tcW w:type="dxa" w:w="22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Discount Band</w:t>
            </w:r>
          </w:p>
        </w:tc>
        <w:tc>
          <w:tcPr>
            <w:tcW w:type="dxa" w:w="26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26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  <w:tc>
          <w:tcPr>
            <w:tcW w:type="dxa" w:w="26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$1,087,908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$320,988</w:t>
            </w:r>
          </w:p>
        </w:tc>
        <w:tc>
          <w:tcPr>
            <w:tcW w:type="dxa" w:w="2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29.51%</w:t>
            </w:r>
          </w:p>
        </w:tc>
      </w:tr>
      <w:tr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0-10%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$54,369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$9,029</w:t>
            </w:r>
          </w:p>
        </w:tc>
        <w:tc>
          <w:tcPr>
            <w:tcW w:type="dxa" w:w="26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16.61%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10-20%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$792,153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$91,756</w:t>
            </w:r>
          </w:p>
        </w:tc>
        <w:tc>
          <w:tcPr>
            <w:tcW w:type="dxa" w:w="2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11.58%</w:t>
            </w:r>
          </w:p>
        </w:tc>
      </w:tr>
      <w:tr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20-30%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$103,227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-$10,369</w:t>
            </w:r>
          </w:p>
        </w:tc>
        <w:tc>
          <w:tcPr>
            <w:tcW w:type="dxa" w:w="26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-10.05%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30-40%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$130,911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-$25,448</w:t>
            </w:r>
          </w:p>
        </w:tc>
        <w:tc>
          <w:tcPr>
            <w:tcW w:type="dxa" w:w="2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-19.44%</w:t>
            </w:r>
          </w:p>
        </w:tc>
      </w:tr>
      <w:tr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40-50%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$64,404</w:t>
            </w:r>
          </w:p>
        </w:tc>
        <w:tc>
          <w:tcPr>
            <w:tcW w:type="dxa" w:w="26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-$22,999</w:t>
            </w:r>
          </w:p>
        </w:tc>
        <w:tc>
          <w:tcPr>
            <w:tcW w:type="dxa" w:w="26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-35.71%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50%+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$64,229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-$76,559</w:t>
            </w:r>
          </w:p>
        </w:tc>
        <w:tc>
          <w:tcPr>
            <w:tcW w:type="dxa" w:w="2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-119.20%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breakeven point sits between 20-30% discount — every discount band at or above 20% is net loss-making in aggregate, and by 50%+ the company loses more than the entire sale price on average per transaction.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Where Discounts Hurt Profitability Most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By category sensitivity (correlation of discount to profit): Furniture is by far the most damaged (-0.48), roughly double Technology (-0.27) and more than double Office Supplies (-0.21) — every discount point taken on Furniture costs proportionally more than the same discount elsewhere.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By sub-category: 613 Binders transactions carry discounts of 70-80%, together destroying $38,510 in profit — the single largest concentrated discount-driven loss of any sub-category, and the primary reason Binders' blended margin (14.9%) masks a severely damaged sub-segment.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By state: Texas's 37.0% average discount (vs. 15.6% company-wide) is the direct, traceable cause of its -15.1% margin and -$25,729 loss.</w:t>
      </w:r>
    </w:p>
    <w:p>
      <w:pPr>
        <w:pStyle w:val="Heading1"/>
        <w:pBdr>
          <w:bottom w:val="single" w:color="0B1E33" w:sz="12" w:space="4"/>
        </w:pBdr>
        <w:spacing w:after="200" w:before="44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Business Insights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1. </w:t>
      </w:r>
      <w:r>
        <w:rPr>
          <w:sz w:val="21"/>
          <w:szCs w:val="21"/>
        </w:rPr>
        <w:t xml:space="preserve">Profit growth (14.2% in 2017) is now trailing sales growth (20.4%) for the first time in the dataset's history — the business is buying growth with margin, not earning it.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2. </w:t>
      </w:r>
      <w:r>
        <w:rPr>
          <w:sz w:val="21"/>
          <w:szCs w:val="21"/>
        </w:rPr>
        <w:t xml:space="preserve">18.72% of all line items — nearly 1 in 5 transactions — are individually unprofitable, totaling $156,131 in losses that are currently being absorbed by the other 81% of the business.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3. </w:t>
      </w:r>
      <w:r>
        <w:rPr>
          <w:sz w:val="21"/>
          <w:szCs w:val="21"/>
        </w:rPr>
        <w:t xml:space="preserve">A single sub-category, Binders, accounts for $38,510 of that loss on its own, concentrated in just 613 transactions discounted at 70-80% — a specific, fixable policy issue, not a diffuse problem.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4. </w:t>
      </w:r>
      <w:r>
        <w:rPr>
          <w:sz w:val="21"/>
          <w:szCs w:val="21"/>
        </w:rPr>
        <w:t xml:space="preserve">Furniture generates almost as much revenue as Office Supplies ($742K vs $719K) but only 1/7th the profit ($18K vs $122K) — it is structurally, not occasionally, underperforming.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5. </w:t>
      </w:r>
      <w:r>
        <w:rPr>
          <w:sz w:val="21"/>
          <w:szCs w:val="21"/>
        </w:rPr>
        <w:t xml:space="preserve">Tables, specifically, is net loss-making overall (-$17,725 on $207K in sales) — it is the single biggest sub-category drag in the entire catalog.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6. </w:t>
      </w:r>
      <w:r>
        <w:rPr>
          <w:sz w:val="21"/>
          <w:szCs w:val="21"/>
        </w:rPr>
        <w:t xml:space="preserve">The discount-to-profit breakeven point is between 20-30% — any discount at or above this threshold is, in aggregate, destroying value rather than creating volume.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7. </w:t>
      </w:r>
      <w:r>
        <w:rPr>
          <w:sz w:val="21"/>
          <w:szCs w:val="21"/>
        </w:rPr>
        <w:t xml:space="preserve">Discount and Sales barely correlate (-0.03) — the company's discounting is not meaningfully generating the extra revenue it is presumably intended to generate.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8. </w:t>
      </w:r>
      <w:r>
        <w:rPr>
          <w:sz w:val="21"/>
          <w:szCs w:val="21"/>
        </w:rPr>
        <w:t xml:space="preserve">Texas is the single worst-performing state in absolute dollars (-$25,729) despite being the 3rd-largest by revenue — a scale-with-no-discipline problem, driven by a 37% average discount rate more than double the company norm.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9. </w:t>
      </w:r>
      <w:r>
        <w:rPr>
          <w:sz w:val="21"/>
          <w:szCs w:val="21"/>
        </w:rPr>
        <w:t xml:space="preserve">10 of 49 states (20% of the footprint) are net loss-making, concentrated disproportionately in the Central and South regions.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10. </w:t>
      </w:r>
      <w:r>
        <w:rPr>
          <w:sz w:val="21"/>
          <w:szCs w:val="21"/>
        </w:rPr>
        <w:t xml:space="preserve">The Central region has the second-highest order volume of any region but by far the lowest margin (7.9% vs. 11.9-14.9% elsewhere) — a regional pricing/discount governance gap, not a demand gap.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11. </w:t>
      </w:r>
      <w:r>
        <w:rPr>
          <w:sz w:val="21"/>
          <w:szCs w:val="21"/>
        </w:rPr>
        <w:t xml:space="preserve">Michigan (32.1% margin) and Washington (24.1% margin) are the two most efficient states in the country — small, profitable markets that are prime candidates for expansion investment ahead of lower-margin ones.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12. </w:t>
      </w:r>
      <w:r>
        <w:rPr>
          <w:sz w:val="21"/>
          <w:szCs w:val="21"/>
        </w:rPr>
        <w:t xml:space="preserve">Sean Miller, the single highest-revenue customer in the dataset ($25,043), is currently unprofitable (-$1,981) — the company's 'best' customer by volume is actually a margin liability.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13. </w:t>
      </w:r>
      <w:r>
        <w:rPr>
          <w:sz w:val="21"/>
          <w:szCs w:val="21"/>
        </w:rPr>
        <w:t xml:space="preserve">155 of 793 customers (19.5%) have gone net-negative on lifetime profit — nearly 1 in 5 loyal, repeat customers are quietly costing the company money.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14. </w:t>
      </w:r>
      <w:r>
        <w:rPr>
          <w:sz w:val="21"/>
          <w:szCs w:val="21"/>
        </w:rPr>
        <w:t xml:space="preserve">Despite the above, retention is genuinely strong: only 1.5% of customers are one-time buyers, and the average customer places 6.3 orders — the loyalty engine works, but the pricing on top of it doesn't.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15. </w:t>
      </w:r>
      <w:r>
        <w:rPr>
          <w:sz w:val="21"/>
          <w:szCs w:val="21"/>
        </w:rPr>
        <w:t xml:space="preserve">Home Office is the smallest segment by revenue but the highest-margin (14.0%) — it is punching above its weight and is under-invested in relative to Consumer.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16. </w:t>
      </w:r>
      <w:r>
        <w:rPr>
          <w:sz w:val="21"/>
          <w:szCs w:val="21"/>
        </w:rPr>
        <w:t xml:space="preserve">Two variants of the same product, the Cubify CubeX 3D Printer, both appear among the worst single-line losses in the entire dataset — this is a specific SKU-level pricing failure, not a category-wide issue.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17. </w:t>
      </w:r>
      <w:r>
        <w:rPr>
          <w:sz w:val="21"/>
          <w:szCs w:val="21"/>
        </w:rPr>
        <w:t xml:space="preserve">November is the strongest month every single year in the dataset ($352K cumulative) — the seasonal peak is remarkably consistent and highly predictable for planning purposes.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18. </w:t>
      </w:r>
      <w:r>
        <w:rPr>
          <w:sz w:val="21"/>
          <w:szCs w:val="21"/>
        </w:rPr>
        <w:t xml:space="preserve">Only 2 of 48 calendar months in the dataset's history were net-unprofitable (July 2014, January 2015) — profitability is structurally the norm, making the current 2017 margin slide a real deviation worth acting on, not noise.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19. </w:t>
      </w:r>
      <w:r>
        <w:rPr>
          <w:sz w:val="21"/>
          <w:szCs w:val="21"/>
        </w:rPr>
        <w:t xml:space="preserve">Shipping mode has almost no bearing on profitability (12.1%-13.9% margin across all four tiers) — unlike discounting, it is not a lever management needs to worry about.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20. </w:t>
      </w:r>
      <w:r>
        <w:rPr>
          <w:sz w:val="21"/>
          <w:szCs w:val="21"/>
        </w:rPr>
        <w:t xml:space="preserve">First Class shipping — not Standard — carries the highest margin of any ship mode, suggesting no cost trade-off exists for encouraging customers toward faster tiers.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21. </w:t>
      </w:r>
      <w:r>
        <w:rPr>
          <w:sz w:val="21"/>
          <w:szCs w:val="21"/>
        </w:rPr>
        <w:t xml:space="preserve">139 distinct products (7.5% of the 1,850-product catalog) each sell over $1,000 but post net-negative profit — a long tail of loss-leaders spread across the assortment, not just a handful of outliers.</w:t>
      </w:r>
    </w:p>
    <w:p>
      <w:pPr>
        <w:spacing w:after="100"/>
      </w:pPr>
      <w:r>
        <w:rPr>
          <w:b/>
          <w:bCs/>
          <w:color w:val="C9972A"/>
          <w:sz w:val="21"/>
          <w:szCs w:val="21"/>
        </w:rPr>
        <w:t xml:space="preserve">22. </w:t>
      </w:r>
      <w:r>
        <w:rPr>
          <w:sz w:val="21"/>
          <w:szCs w:val="21"/>
        </w:rPr>
        <w:t xml:space="preserve">New York state has the highest margin of any major-revenue state (23.8%) alongside California's scale (16.7%) — the two together prove the company can be both large and profitable when discount discipline holds; Texas is proof of what happens when it doesn't.</w:t>
      </w:r>
    </w:p>
    <w:p>
      <w:pPr>
        <w:pStyle w:val="Heading1"/>
        <w:pBdr>
          <w:bottom w:val="single" w:color="0B1E33" w:sz="12" w:space="4"/>
        </w:pBdr>
        <w:spacing w:after="200" w:before="44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Anomaly Detection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Worst Single-Line-Item Losses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3400"/>
        <w:gridCol w:w="1900"/>
        <w:gridCol w:w="1400"/>
        <w:gridCol w:w="1500"/>
        <w:gridCol w:w="1880"/>
      </w:tblGrid>
      <w:tr>
        <w:trPr>
          <w:tblHeader/>
        </w:trPr>
        <w:tc>
          <w:tcPr>
            <w:tcW w:type="dxa" w:w="34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9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4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</w:tc>
        <w:tc>
          <w:tcPr>
            <w:tcW w:type="dxa" w:w="15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18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Cubify CubeX 3D Printer, Double Head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Ohio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70%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$4,500</w:t>
            </w:r>
          </w:p>
        </w:tc>
        <w:tc>
          <w:tcPr>
            <w:tcW w:type="dxa" w:w="18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-$6,600</w:t>
            </w:r>
          </w:p>
        </w:tc>
      </w:tr>
      <w:tr>
        <w:tc>
          <w:tcPr>
            <w:tcW w:type="dxa" w:w="3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Cubify CubeX 3D Printer, Triple Head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North Carolina</w:t>
            </w:r>
          </w:p>
        </w:tc>
        <w:tc>
          <w:tcPr>
            <w:tcW w:type="dxa" w:w="1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50%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$8,000</w:t>
            </w:r>
          </w:p>
        </w:tc>
        <w:tc>
          <w:tcPr>
            <w:tcW w:type="dxa" w:w="18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-$3,840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GBC DocuBind P400 Binding System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Texas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80%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$2,178</w:t>
            </w:r>
          </w:p>
        </w:tc>
        <w:tc>
          <w:tcPr>
            <w:tcW w:type="dxa" w:w="18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-$3,702</w:t>
            </w:r>
          </w:p>
        </w:tc>
      </w:tr>
      <w:tr>
        <w:tc>
          <w:tcPr>
            <w:tcW w:type="dxa" w:w="3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Lexmark MX611dhe Laser Printer</w:t>
            </w:r>
          </w:p>
        </w:tc>
        <w:tc>
          <w:tcPr>
            <w:tcW w:type="dxa" w:w="1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Colorado</w:t>
            </w:r>
          </w:p>
        </w:tc>
        <w:tc>
          <w:tcPr>
            <w:tcW w:type="dxa" w:w="14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70%</w:t>
            </w:r>
          </w:p>
        </w:tc>
        <w:tc>
          <w:tcPr>
            <w:tcW w:type="dxa" w:w="15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$2,550</w:t>
            </w:r>
          </w:p>
        </w:tc>
        <w:tc>
          <w:tcPr>
            <w:tcW w:type="dxa" w:w="18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-$3,400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Ibico EPK-21 Binding System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Illinois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80%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$1,890</w:t>
            </w:r>
          </w:p>
        </w:tc>
        <w:tc>
          <w:tcPr>
            <w:tcW w:type="dxa" w:w="18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-$2,929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Notably, the Ohio Cubify CubeX loss recurs — the same product model appears twice among the single worst transactions in the dataset (Double Head in Ohio, Triple Head in North Carolina), pointing to a specific, repeatable pricing failure on this SKU rather than a random one-off.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Extreme Discount Cluster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718 transactions (7.2% of all line items) carry a discount of 70% or higher — an unusually large, sharply concentrated cluster at the extreme end of the range rather than a smooth tail-off. 613 of these 718 (85%) are Binders, and together this cluster alone destroys $38,510 in profit. This concentration pattern (one sub-category driving the overwhelming majority of extreme discounts) suggests a specific promotional rule, clearance policy, or sales-rep override tied to Binders specifically — worth a direct policy audit rather than a company-wide discount cap alone.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Geographic Outlier — Texas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Texas's 37.0% average discount is more than double the 15.6% company average and is the clear, traceable cause of the state's -15.1% margin — the single largest state-level loss in the dataset despite being the 3rd-largest by revenue. This is an outlier in both scale and policy, not just an underperforming market.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Data Quality Anomaly — Postal Code Truncation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449 records (4.5% of the dataset) have Postal Code values stored as fewer than 5 digits because the field is typed as a number, which silently drops the leading zero on Northeast ZIP codes (e.g., Massachusetts codes starting with '0'). This is not a business anomaly but will break any postal-code-based geographic join, map visual, or external enrichment (e.g., Census data) until the field is re-cast to Text on import.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4304D"/>
          <w:sz w:val="23"/>
          <w:szCs w:val="23"/>
        </w:rPr>
        <w:t xml:space="preserve">Isolated Loss Month — January 2015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January 2015 is the only month in the dataset with meaningfully positive sales ($18.2K) alongside a net loss (-$3.3K profit) outside of the otherwise-explicable low-volume month of July 2014. This isolated pattern — a real sales month that still lost money — is consistent with a short, sharp discounting event (e.g., a New Year clearance push) rather than ongoing weakness, and is worth a one-time root-cause check against that period's promotional calendar.</w:t>
      </w:r>
    </w:p>
    <w:p>
      <w:pPr>
        <w:pStyle w:val="Heading1"/>
        <w:pBdr>
          <w:bottom w:val="single" w:color="0B1E33" w:sz="12" w:space="4"/>
        </w:pBdr>
        <w:spacing w:after="200" w:before="44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Business Recommendations</w:t>
      </w:r>
    </w:p>
    <w:p>
      <w:pPr>
        <w:spacing w:after="60" w:before="200"/>
      </w:pPr>
      <w:r>
        <w:rPr>
          <w:b/>
          <w:bCs/>
          <w:color w:val="C9972A"/>
          <w:sz w:val="21"/>
          <w:szCs w:val="21"/>
        </w:rPr>
        <w:t xml:space="preserve">Recommendation 1: </w:t>
      </w:r>
      <w:r>
        <w:rPr>
          <w:b/>
          <w:bCs/>
          <w:color w:val="0B1E33"/>
          <w:sz w:val="21"/>
          <w:szCs w:val="21"/>
        </w:rPr>
        <w:t xml:space="preserve">Cap discretionary discounts at 20%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Every discount band at or above 20% is net loss-making in aggregate; there is currently no evident ceiling.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Continued unrestricted discounting will keep compressing margin as revenue grows, as already seen in 2017.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Implement a hard approval gate in the sales workflow requiring manager sign-off for any discount above 20%.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Margin on affected transactions should move from roughly -10% to positive within one to two quarters of enforcement.</w:t>
            </w:r>
          </w:p>
        </w:tc>
      </w:tr>
    </w:tbl>
    <w:p>
      <w:pPr>
        <w:spacing w:after="60" w:before="200"/>
      </w:pPr>
      <w:r>
        <w:rPr>
          <w:b/>
          <w:bCs/>
          <w:color w:val="C9972A"/>
          <w:sz w:val="21"/>
          <w:szCs w:val="21"/>
        </w:rPr>
        <w:t xml:space="preserve">Recommendation 2: </w:t>
      </w:r>
      <w:r>
        <w:rPr>
          <w:b/>
          <w:bCs/>
          <w:color w:val="0B1E33"/>
          <w:sz w:val="21"/>
          <w:szCs w:val="21"/>
        </w:rPr>
        <w:t xml:space="preserve">Audit and reset the Binders discount policy specifically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613 Binders transactions at 70-80% discount have destroyed $38,510 in profit — the single largest concentrated loss in the dataset.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This one sub-category behavior is likely costing more than any other single decision in the business.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Identify whether this is a systemic price-list error, a clearance program, or unsupervised rep discretion, and correct the root cause directly.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Recovering even half of this loss would lift overall company profit by roughly 7%.</w:t>
            </w:r>
          </w:p>
        </w:tc>
      </w:tr>
    </w:tbl>
    <w:p>
      <w:pPr>
        <w:spacing w:after="60" w:before="200"/>
      </w:pPr>
      <w:r>
        <w:rPr>
          <w:b/>
          <w:bCs/>
          <w:color w:val="C9972A"/>
          <w:sz w:val="21"/>
          <w:szCs w:val="21"/>
        </w:rPr>
        <w:t xml:space="preserve">Recommendation 3: </w:t>
      </w:r>
      <w:r>
        <w:rPr>
          <w:b/>
          <w:bCs/>
          <w:color w:val="0B1E33"/>
          <w:sz w:val="21"/>
          <w:szCs w:val="21"/>
        </w:rPr>
        <w:t xml:space="preserve">Launch a state-level discount audit starting with Texas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Texas discounts average 37% (vs. 15.6% company-wide) and the state posts the largest dollar loss of any state (-$25,729).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single state is materially dragging down national profitability despite strong revenue scale.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Review Texas sales-team discount authority and compare to high-performing states like New York and Michigan.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Bringing Texas's average discount toward the company norm could turn its -15.1% margin positive.</w:t>
            </w:r>
          </w:p>
        </w:tc>
      </w:tr>
    </w:tbl>
    <w:p>
      <w:pPr>
        <w:spacing w:after="60" w:before="200"/>
      </w:pPr>
      <w:r>
        <w:rPr>
          <w:b/>
          <w:bCs/>
          <w:color w:val="C9972A"/>
          <w:sz w:val="21"/>
          <w:szCs w:val="21"/>
        </w:rPr>
        <w:t xml:space="preserve">Recommendation 4: </w:t>
      </w:r>
      <w:r>
        <w:rPr>
          <w:b/>
          <w:bCs/>
          <w:color w:val="0B1E33"/>
          <w:sz w:val="21"/>
          <w:szCs w:val="21"/>
        </w:rPr>
        <w:t xml:space="preserve">Review Furniture category pricing and cost structure end-to-end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Furniture earns 2.5% margin vs. 17%+ for the other two categories, on comparable revenue to Office Supplies.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This category is a permanent drag on blended company profitability every single year.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Commission a full cost/pricing review of Furniture, starting with Tables and Bookcases specifically.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Even a move to 8-10% margin (still below peers) would add roughly $45-55K in annual profit.</w:t>
            </w:r>
          </w:p>
        </w:tc>
      </w:tr>
    </w:tbl>
    <w:p>
      <w:pPr>
        <w:spacing w:after="60" w:before="200"/>
      </w:pPr>
      <w:r>
        <w:rPr>
          <w:b/>
          <w:bCs/>
          <w:color w:val="C9972A"/>
          <w:sz w:val="21"/>
          <w:szCs w:val="21"/>
        </w:rPr>
        <w:t xml:space="preserve">Recommendation 5: </w:t>
      </w:r>
      <w:r>
        <w:rPr>
          <w:b/>
          <w:bCs/>
          <w:color w:val="0B1E33"/>
          <w:sz w:val="21"/>
          <w:szCs w:val="21"/>
        </w:rPr>
        <w:t xml:space="preserve">Discontinue or reprice the worst loss-leader SKUs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139 products each sell over $1,000 but are net-negative on profit, led by the Cubify CubeX 3D Printer (both variants).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These SKUs are quietly subsidized by the rest of the catalog every time they sell.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Either reprice these SKUs to a minimum-viable margin or discontinue them if reference/traffic value can't be demonstrated.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Removing or fixing the worst 20 SKUs alone should recover a meaningful five-figure sum annually.</w:t>
            </w:r>
          </w:p>
        </w:tc>
      </w:tr>
    </w:tbl>
    <w:p>
      <w:pPr>
        <w:spacing w:after="60" w:before="200"/>
      </w:pPr>
      <w:r>
        <w:rPr>
          <w:b/>
          <w:bCs/>
          <w:color w:val="C9972A"/>
          <w:sz w:val="21"/>
          <w:szCs w:val="21"/>
        </w:rPr>
        <w:t xml:space="preserve">Recommendation 6: </w:t>
      </w:r>
      <w:r>
        <w:rPr>
          <w:b/>
          <w:bCs/>
          <w:color w:val="0B1E33"/>
          <w:sz w:val="21"/>
          <w:szCs w:val="21"/>
        </w:rPr>
        <w:t xml:space="preserve">Build a customer-level profitability review for repeat accounts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155 of 793 customers (19.5%) are net-negative on lifetime profit, including the single highest-revenue customer.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The loyalty program is retaining unprofitable relationships at the same rate as profitable ones.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Flag any customer with 3+ orders and negative cumulative profit for account-level pricing review, starting with Sean Miller and Cindy Stewart.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targeted repricing conversation with the worst 20-30 accounts could flip several from red to black within a year.</w:t>
            </w:r>
          </w:p>
        </w:tc>
      </w:tr>
    </w:tbl>
    <w:p>
      <w:pPr>
        <w:spacing w:after="60" w:before="200"/>
      </w:pPr>
      <w:r>
        <w:rPr>
          <w:b/>
          <w:bCs/>
          <w:color w:val="C9972A"/>
          <w:sz w:val="21"/>
          <w:szCs w:val="21"/>
        </w:rPr>
        <w:t xml:space="preserve">Recommendation 7: </w:t>
      </w:r>
      <w:r>
        <w:rPr>
          <w:b/>
          <w:bCs/>
          <w:color w:val="0B1E33"/>
          <w:sz w:val="21"/>
          <w:szCs w:val="21"/>
        </w:rPr>
        <w:t xml:space="preserve">Investigate the Central region's discount governance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Central has the 2nd-highest order volume of any region but the lowest margin by a wide margin (7.9% vs. 11.9-14.9%).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high-volume region operating at structurally low margin represents significant foregone profit at scale.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Compare Central's discount-approval practices against West (14.9% margin) and adopt the stronger region's controls.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Closing even half the margin gap to the company average would add an estimated $25-35K in annual profit.</w:t>
            </w:r>
          </w:p>
        </w:tc>
      </w:tr>
    </w:tbl>
    <w:p>
      <w:pPr>
        <w:spacing w:after="60" w:before="200"/>
      </w:pPr>
      <w:r>
        <w:rPr>
          <w:b/>
          <w:bCs/>
          <w:color w:val="C9972A"/>
          <w:sz w:val="21"/>
          <w:szCs w:val="21"/>
        </w:rPr>
        <w:t xml:space="preserve">Recommendation 8: </w:t>
      </w:r>
      <w:r>
        <w:rPr>
          <w:b/>
          <w:bCs/>
          <w:color w:val="0B1E33"/>
          <w:sz w:val="21"/>
          <w:szCs w:val="21"/>
        </w:rPr>
        <w:t xml:space="preserve">Prioritize sales investment in Michigan and Washington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These two states post the highest margins in the country (32.1% and 24.1%) on comparatively modest revenue.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Growth dollars currently may be spread evenly rather than toward the most efficient markets.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Reallocate a portion of marketing/sales development spend toward these two under-scaled, high-margin states.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Expect a better profit-per-dollar-invested return than in flat or negative-margin states like Texas or Ohio.</w:t>
            </w:r>
          </w:p>
        </w:tc>
      </w:tr>
    </w:tbl>
    <w:p>
      <w:pPr>
        <w:spacing w:after="60" w:before="200"/>
      </w:pPr>
      <w:r>
        <w:rPr>
          <w:b/>
          <w:bCs/>
          <w:color w:val="C9972A"/>
          <w:sz w:val="21"/>
          <w:szCs w:val="21"/>
        </w:rPr>
        <w:t xml:space="preserve">Recommendation 9: </w:t>
      </w:r>
      <w:r>
        <w:rPr>
          <w:b/>
          <w:bCs/>
          <w:color w:val="0B1E33"/>
          <w:sz w:val="21"/>
          <w:szCs w:val="21"/>
        </w:rPr>
        <w:t xml:space="preserve">Promote First Class and Same Day shipping at checkout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 four ship modes cluster within a tight 12.1-13.9% margin band, with First Class actually the highest.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There is currently no evidence-based reason customers are being defaulted to slower Standard Class.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A/B test elevating First Class/Same Day as the default or featured option at checkout.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Potential small AOV and satisfaction lift with no identified margin downside.</w:t>
            </w:r>
          </w:p>
        </w:tc>
      </w:tr>
    </w:tbl>
    <w:p>
      <w:pPr>
        <w:spacing w:after="60" w:before="200"/>
      </w:pPr>
      <w:r>
        <w:rPr>
          <w:b/>
          <w:bCs/>
          <w:color w:val="C9972A"/>
          <w:sz w:val="21"/>
          <w:szCs w:val="21"/>
        </w:rPr>
        <w:t xml:space="preserve">Recommendation 10: </w:t>
      </w:r>
      <w:r>
        <w:rPr>
          <w:b/>
          <w:bCs/>
          <w:color w:val="0B1E33"/>
          <w:sz w:val="21"/>
          <w:szCs w:val="21"/>
        </w:rPr>
        <w:t xml:space="preserve">Build a seasonal inventory and staffing plan around the September-November-December peak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November is the strongest month every year; Sept/Nov/Dec are consistently the top three months in the dataset.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Under- or over-staffing/stocking against a predictable pattern is a preventable cost or lost-sales risk.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Formalize a seasonal ramp plan tied to this exact three-month pattern rather than generic Q4 assumptions.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Smoother fulfillment and fewer stockouts/overstocks during the highest-revenue window of the year.</w:t>
            </w:r>
          </w:p>
        </w:tc>
      </w:tr>
    </w:tbl>
    <w:p>
      <w:pPr>
        <w:spacing w:after="60" w:before="200"/>
      </w:pPr>
      <w:r>
        <w:rPr>
          <w:b/>
          <w:bCs/>
          <w:color w:val="C9972A"/>
          <w:sz w:val="21"/>
          <w:szCs w:val="21"/>
        </w:rPr>
        <w:t xml:space="preserve">Recommendation 11: </w:t>
      </w:r>
      <w:r>
        <w:rPr>
          <w:b/>
          <w:bCs/>
          <w:color w:val="0B1E33"/>
          <w:sz w:val="21"/>
          <w:szCs w:val="21"/>
        </w:rPr>
        <w:t xml:space="preserve">Fix the Postal Code data type before any geographic reporting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449 records (4.5%) lose their leading zero because Postal Code is stored as a number, not text.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Any ZIP-based map, join, or third-party enrichment will silently misroute or drop these records.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Re-import or transform Postal Code as a zero-padded 5-digit text field at the source.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Accurate geographic visuals and joins with no silent data loss.</w:t>
            </w:r>
          </w:p>
        </w:tc>
      </w:tr>
    </w:tbl>
    <w:p>
      <w:pPr>
        <w:spacing w:after="60" w:before="200"/>
      </w:pPr>
      <w:r>
        <w:rPr>
          <w:b/>
          <w:bCs/>
          <w:color w:val="C9972A"/>
          <w:sz w:val="21"/>
          <w:szCs w:val="21"/>
        </w:rPr>
        <w:t xml:space="preserve">Recommendation 12: </w:t>
      </w:r>
      <w:r>
        <w:rPr>
          <w:b/>
          <w:bCs/>
          <w:color w:val="0B1E33"/>
          <w:sz w:val="21"/>
          <w:szCs w:val="21"/>
        </w:rPr>
        <w:t xml:space="preserve">Investigate the January 2015 loss month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January 2015 is an isolated month with real sales ($18.2K) but a net loss (-$3.3K) outside the otherwise-explicable July 2014 dip.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 unexplained historical loss month may point to a repeatable seasonal discounting mistake (e.g., a New Year clearance).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Pull the underlying transactions for that month and identify the specific discount event or campaign responsible.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Either confirm it as a one-off (no action needed) or catch a recurring pattern before the next January.</w:t>
            </w:r>
          </w:p>
        </w:tc>
      </w:tr>
    </w:tbl>
    <w:p>
      <w:pPr>
        <w:spacing w:after="60" w:before="200"/>
      </w:pPr>
      <w:r>
        <w:rPr>
          <w:b/>
          <w:bCs/>
          <w:color w:val="C9972A"/>
          <w:sz w:val="21"/>
          <w:szCs w:val="21"/>
        </w:rPr>
        <w:t xml:space="preserve">Recommendation 13: </w:t>
      </w:r>
      <w:r>
        <w:rPr>
          <w:b/>
          <w:bCs/>
          <w:color w:val="0B1E33"/>
          <w:sz w:val="21"/>
          <w:szCs w:val="21"/>
        </w:rPr>
        <w:t xml:space="preserve">Formalize a discount-approval workflow with tiered authority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718 transactions above 70% discount suggest discount authority is currently under-governed at the rep level.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Uncontrolled high-discount authority is the direct mechanical cause of most of the losses identified in this report.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Introduce tiered approval (rep / manager / director) tied to discount thresholds, enforced in the CRM or order system.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measurable drop in transactions above the 20% breakeven threshold within two quarters.</w:t>
            </w:r>
          </w:p>
        </w:tc>
      </w:tr>
    </w:tbl>
    <w:p>
      <w:pPr>
        <w:spacing w:after="60" w:before="200"/>
      </w:pPr>
      <w:r>
        <w:rPr>
          <w:b/>
          <w:bCs/>
          <w:color w:val="C9972A"/>
          <w:sz w:val="21"/>
          <w:szCs w:val="21"/>
        </w:rPr>
        <w:t xml:space="preserve">Recommendation 14: </w:t>
      </w:r>
      <w:r>
        <w:rPr>
          <w:b/>
          <w:bCs/>
          <w:color w:val="0B1E33"/>
          <w:sz w:val="21"/>
          <w:szCs w:val="21"/>
        </w:rPr>
        <w:t xml:space="preserve">Grow the Home Office segment deliberately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Home Office is the smallest segment by revenue but the highest-margin (14.0%), ahead of Consumer (11.5%) and Corporate (13.0%).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Growth capital may currently be weighted toward the larger but lower-margin Consumer segment by default.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Test a Home Office-specific acquisition campaign leveraging its favorable existing margin profile.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Incremental revenue growth in this segment should carry a better marginal profit return than equivalent Consumer growth.</w:t>
            </w:r>
          </w:p>
        </w:tc>
      </w:tr>
    </w:tbl>
    <w:p>
      <w:pPr>
        <w:spacing w:after="60" w:before="200"/>
      </w:pPr>
      <w:r>
        <w:rPr>
          <w:b/>
          <w:bCs/>
          <w:color w:val="C9972A"/>
          <w:sz w:val="21"/>
          <w:szCs w:val="21"/>
        </w:rPr>
        <w:t xml:space="preserve">Recommendation 15: </w:t>
      </w:r>
      <w:r>
        <w:rPr>
          <w:b/>
          <w:bCs/>
          <w:color w:val="0B1E33"/>
          <w:sz w:val="21"/>
          <w:szCs w:val="21"/>
        </w:rPr>
        <w:t xml:space="preserve">Bundle high-volume, low-margin consumables with high-margin hardware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Staples/Staple envelope/Easy-staple paper lead by unit volume but are low-ticket; copiers and binding machines lead by profit.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These two groups are currently likely sold independently, leaving a cross-sell margin opportunity on the table.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Create bundle offers pairing binding machines/copiers with their related high-frequency consumables (e.g., binders, paper).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Higher basket size (AOV) at a blended margin better than the consumables alone.</w:t>
            </w:r>
          </w:p>
        </w:tc>
      </w:tr>
    </w:tbl>
    <w:p>
      <w:pPr>
        <w:spacing w:after="60" w:before="200"/>
      </w:pPr>
      <w:r>
        <w:rPr>
          <w:b/>
          <w:bCs/>
          <w:color w:val="C9972A"/>
          <w:sz w:val="21"/>
          <w:szCs w:val="21"/>
        </w:rPr>
        <w:t xml:space="preserve">Recommendation 16: </w:t>
      </w:r>
      <w:r>
        <w:rPr>
          <w:b/>
          <w:bCs/>
          <w:color w:val="0B1E33"/>
          <w:sz w:val="21"/>
          <w:szCs w:val="21"/>
        </w:rPr>
        <w:t xml:space="preserve">Establish a quarterly margin-leakage dashboard for executive review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400"/>
        <w:gridCol w:w="7680"/>
      </w:tblGrid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Problem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This report is a point-in-time analysis; without ongoing monitoring, the same patterns (Binders, Texas, Furniture) will likely recur.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Impact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One-time fixes without a monitoring cadence tend to regress within a few quarters.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Suggested Action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Stand up the Power BI dashboard recommended in the next section as a living, quarterly-reviewed executive tool.</w:t>
            </w:r>
          </w:p>
        </w:tc>
      </w:tr>
      <w:tr>
        <w:tc>
          <w:tcPr>
            <w:tcW w:type="dxa" w:w="2400"/>
            <w:shd w:fill="E9ED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Faster detection of the next 'Binders' or 'Texas'-style issue before it accumulates $30K+ in losses.</w:t>
            </w:r>
          </w:p>
        </w:tc>
      </w:tr>
    </w:tbl>
    <w:p>
      <w:pPr>
        <w:pStyle w:val="Heading1"/>
        <w:pBdr>
          <w:bottom w:val="single" w:color="0B1E33" w:sz="12" w:space="4"/>
        </w:pBdr>
        <w:spacing w:after="200" w:before="440"/>
      </w:pPr>
      <w:r>
        <w:rPr>
          <w:rFonts w:ascii="Calibri" w:cs="Calibri" w:eastAsia="Calibri" w:hAnsi="Calibri"/>
          <w:b/>
          <w:bCs/>
          <w:color w:val="0B1E33"/>
          <w:sz w:val="30"/>
          <w:szCs w:val="30"/>
        </w:rPr>
        <w:t xml:space="preserve">Dashboard Recommendations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Power BI visuals mapped directly to the analysis areas above — each chosen because it answers the specific business question that analysis raised, not for generic coverage.</w:t>
      </w:r>
    </w:p>
    <w:tbl>
      <w:tblPr>
        <w:tblW w:type="dxa" w:w="1008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E1E5E9" w:sz="4"/>
          <w:insideV w:val="single" w:color="E1E5E9" w:sz="4"/>
        </w:tblBorders>
      </w:tblPr>
      <w:tblGrid>
        <w:gridCol w:w="2200"/>
        <w:gridCol w:w="2900"/>
        <w:gridCol w:w="4980"/>
      </w:tblGrid>
      <w:tr>
        <w:trPr>
          <w:tblHeader/>
        </w:trPr>
        <w:tc>
          <w:tcPr>
            <w:tcW w:type="dxa" w:w="22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Analysis Area</w:t>
            </w:r>
          </w:p>
        </w:tc>
        <w:tc>
          <w:tcPr>
            <w:tcW w:type="dxa" w:w="290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Recommended Visual</w:t>
            </w:r>
          </w:p>
        </w:tc>
        <w:tc>
          <w:tcPr>
            <w:tcW w:type="dxa" w:w="4980"/>
            <w:shd w:fill="0B1E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This Visual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KPIs (Sales, Profit, Margin, Orders, Customers, AOV)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Multi-row KPI cards with trend arrows and sparklines</w:t>
            </w:r>
          </w:p>
        </w:tc>
        <w:tc>
          <w:tcPr>
            <w:tcW w:type="dxa" w:w="49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Executives need the headline numbers and their direction in under five seconds — cards do this better than any chart</w:t>
            </w:r>
          </w:p>
        </w:tc>
      </w:tr>
      <w:tr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Yearly / Monthly Trend</w:t>
            </w:r>
          </w:p>
        </w:tc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Combo line chart (Sales + Profit dual-axis) with a Year/Month drill hierarchy</w:t>
            </w:r>
          </w:p>
        </w:tc>
        <w:tc>
          <w:tcPr>
            <w:tcW w:type="dxa" w:w="49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Shows the exact point where profit growth diverges from sales growth — the core executive story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Seasonality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Line chart faceted or colored by Year, X-axis = calendar month</w:t>
            </w:r>
          </w:p>
        </w:tc>
        <w:tc>
          <w:tcPr>
            <w:tcW w:type="dxa" w:w="49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Overlaying four years by calendar month is the clearest way to prove the Sept-Nov-Dec pattern is structural, not one-off</w:t>
            </w:r>
          </w:p>
        </w:tc>
      </w:tr>
      <w:tr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Category / Sub-Category Profitability</w:t>
            </w:r>
          </w:p>
        </w:tc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Paired horizontal bar charts (Sales vs. Profit, same sort order)</w:t>
            </w:r>
          </w:p>
        </w:tc>
        <w:tc>
          <w:tcPr>
            <w:tcW w:type="dxa" w:w="49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Makes the Furniture and Tables profitability gap visually unmissable by comparing bar-length ratios directly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Discount vs. Profit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Scatter/bubble chart, X = Discount %, Y = Profit Margin %, bubble size = Sales, color = Category</w:t>
            </w:r>
          </w:p>
        </w:tc>
        <w:tc>
          <w:tcPr>
            <w:tcW w:type="dxa" w:w="49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single best visual to prove the ~20% breakeven threshold and show Furniture's steeper sensitivity</w:t>
            </w:r>
          </w:p>
        </w:tc>
      </w:tr>
      <w:tr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Geographic Profitability</w:t>
            </w:r>
          </w:p>
        </w:tc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Filled/choropleth map of Profit Margin % by State, plus a Top/Bottom-10 state bar chart</w:t>
            </w:r>
          </w:p>
        </w:tc>
        <w:tc>
          <w:tcPr>
            <w:tcW w:type="dxa" w:w="49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map instantly shows that losses cluster in specific states (Texas, Ohio, Pennsylvania) rather than being random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Customer Concentration &amp; Risk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Top 10 Customers bar chart + a scatter of Sales vs. Profit per customer to flag high-revenue/negative-profit accounts</w:t>
            </w:r>
          </w:p>
        </w:tc>
        <w:tc>
          <w:tcPr>
            <w:tcW w:type="dxa" w:w="49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The scatter is what actually surfaces accounts like Sean Miller that a simple ranked list would hide</w:t>
            </w:r>
          </w:p>
        </w:tc>
      </w:tr>
      <w:tr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Ship Mode Economics</w:t>
            </w:r>
          </w:p>
        </w:tc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Small multiples: Order Share, Avg Ship Days, and Margin by Ship Mode</w:t>
            </w:r>
          </w:p>
        </w:tc>
        <w:tc>
          <w:tcPr>
            <w:tcW w:type="dxa" w:w="49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Shows clearly that shipping tier is not a margin lever, closing off a line of investigation quickly for executives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Business Insights / Anomalies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text-driven insights panel (dynamically generated from DAX measures) alongside a table of the worst single-line-item losses</w:t>
            </w:r>
          </w:p>
        </w:tc>
        <w:tc>
          <w:tcPr>
            <w:tcW w:type="dxa" w:w="49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Numbers alone don't carry the narrative — pairing a plain-English insight feed with the supporting evidence table does</w:t>
            </w:r>
          </w:p>
        </w:tc>
      </w:tr>
      <w:tr>
        <w:tc>
          <w:tcPr>
            <w:tcW w:type="dxa" w:w="22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Discount Governance Monitoring</w:t>
            </w:r>
          </w:p>
        </w:tc>
        <w:tc>
          <w:tcPr>
            <w:tcW w:type="dxa" w:w="290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gauge or KPI card tracking % of transactions above the 20% discount threshold against a target ceiling</w:t>
            </w:r>
          </w:p>
        </w:tc>
        <w:tc>
          <w:tcPr>
            <w:tcW w:type="dxa" w:w="4980"/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Turns this report's core recommendation into an ongoing, trackable operational metric rather than a one-time finding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1"/>
          <w:szCs w:val="21"/>
        </w:rPr>
        <w:t xml:space="preserve">This analysis is built entirely from the fields present in the source CSV — every figure above is computed directly from the dataset, not estimated.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2026-07-25T03:02:01.333Z</dcterms:created>
  <dcterms:modified xsi:type="dcterms:W3CDTF">2026-07-25T03:02:01.349Z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