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color w:val="0F5C56"/>
          <w:sz w:val="18"/>
        </w:rPr>
        <w:t>ТЕХНИЧЕСКОЕ ЗАДАНИЕ · ЧЕРНОВИК v1</w:t>
      </w:r>
    </w:p>
    <w:p>
      <w:pPr>
        <w:spacing w:after="120"/>
      </w:pPr>
      <w:r>
        <w:rPr>
          <w:rFonts w:ascii="Georgia" w:hAnsi="Georgia"/>
          <w:b/>
          <w:color w:val="1C231F"/>
          <w:sz w:val="52"/>
        </w:rPr>
        <w:t>RT Queue — модуль приоритизации МДГ</w:t>
      </w:r>
    </w:p>
    <w:p>
      <w:pPr>
        <w:spacing w:after="280"/>
      </w:pPr>
      <w:r>
        <w:rPr>
          <w:i w:val="0"/>
          <w:color w:val="57625A"/>
          <w:sz w:val="23"/>
        </w:rPr>
        <w:t>Очередь на лучевую терапию для дневного стационара Алматинского онкологического центра: от загрузки медицинской карты до предложения даты старта лечения с учётом ёмкости отделения.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onsolas" w:hAnsi="Consolas"/>
                <w:color w:val="8A9189"/>
                <w:sz w:val="15"/>
              </w:rPr>
              <w:t>ДАТА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8A9189"/>
                <w:sz w:val="15"/>
              </w:rPr>
              <w:t>ПЕРИМЕТР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8A9189"/>
                <w:sz w:val="15"/>
              </w:rPr>
              <w:t>ЗАКАЗЧИК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color w:val="8A9189"/>
                <w:sz w:val="15"/>
              </w:rPr>
              <w:t>СТАТУС КОДА</w:t>
            </w:r>
          </w:p>
        </w:tc>
      </w:tr>
      <w:tr>
        <w:tc>
          <w:tcPr>
            <w:tcW w:type="dxa" w:w="2436"/>
          </w:tcPr>
          <w:p>
            <w:r>
              <w:rPr>
                <w:b/>
                <w:color w:val="1C231F"/>
                <w:sz w:val="19"/>
              </w:rPr>
              <w:t>01.09.2026</w:t>
            </w:r>
          </w:p>
        </w:tc>
        <w:tc>
          <w:tcPr>
            <w:tcW w:type="dxa" w:w="2436"/>
          </w:tcPr>
          <w:p>
            <w:r>
              <w:rPr>
                <w:b/>
                <w:color w:val="1C231F"/>
                <w:sz w:val="19"/>
              </w:rPr>
              <w:t>Блок МДГ (приоритизация)</w:t>
            </w:r>
          </w:p>
        </w:tc>
        <w:tc>
          <w:tcPr>
            <w:tcW w:type="dxa" w:w="2436"/>
          </w:tcPr>
          <w:p>
            <w:r>
              <w:rPr>
                <w:b/>
                <w:color w:val="1C231F"/>
                <w:sz w:val="19"/>
              </w:rPr>
              <w:t>МДГ, Алматинский онкоцентр</w:t>
            </w:r>
          </w:p>
        </w:tc>
        <w:tc>
          <w:tcPr>
            <w:tcW w:type="dxa" w:w="2436"/>
          </w:tcPr>
          <w:p>
            <w:r>
              <w:rPr>
                <w:b/>
                <w:color w:val="1C231F"/>
                <w:sz w:val="19"/>
              </w:rPr>
              <w:t>Демо, частично реализовано</w:t>
            </w:r>
          </w:p>
        </w:tc>
      </w:tr>
    </w:tbl>
    <w:p/>
    <w:p>
      <w:pPr>
        <w:spacing w:before="440" w:after="160"/>
      </w:pPr>
      <w:r>
        <w:rPr>
          <w:rFonts w:ascii="Consolas" w:hAnsi="Consolas"/>
          <w:b/>
          <w:color w:val="0F5C56"/>
          <w:sz w:val="24"/>
        </w:rPr>
        <w:t xml:space="preserve">1  </w:t>
      </w:r>
      <w:r>
        <w:rPr>
          <w:rFonts w:ascii="Georgia" w:hAnsi="Georgia"/>
          <w:b/>
          <w:color w:val="1C231F"/>
          <w:sz w:val="34"/>
        </w:rPr>
        <w:t>Контекст и цель</w:t>
      </w:r>
    </w:p>
    <w:p>
      <w:pPr>
        <w:spacing w:after="160"/>
      </w:pPr>
      <w:r>
        <w:rPr>
          <w:i w:val="0"/>
          <w:color w:val="1C231F"/>
          <w:sz w:val="22"/>
        </w:rPr>
        <w:t>Отделение лучевой терапии дневного стационара принимает ограниченное число пациентов — около 60 человек в месяц. Сейчас включение пациента в очередь и определение срочности лечения делает мультидисциплинарная группа (МДГ) вручную, по бумажной карте. Цель — снять с врача ручной ввод данных и дать инструмент, который сам вытаскивает нужные поля из карты и подсказывает, когда реально можно начать лечение с учётом того, кто уже стоит в очереди.</w:t>
      </w:r>
    </w:p>
    <w:p>
      <w:pPr>
        <w:spacing w:after="160"/>
      </w:pPr>
      <w:r>
        <w:rPr>
          <w:i w:val="0"/>
          <w:color w:val="1C231F"/>
          <w:sz w:val="21"/>
        </w:rPr>
        <w:t>Документ фиксирует периметр текущей фазы, то, что уже реализовано в коде на момент написания, и то, что осознанно оставлено на потом.</w:t>
      </w:r>
    </w:p>
    <w:p>
      <w:pPr>
        <w:spacing w:before="440" w:after="160"/>
      </w:pPr>
      <w:r>
        <w:rPr>
          <w:rFonts w:ascii="Consolas" w:hAnsi="Consolas"/>
          <w:b/>
          <w:color w:val="0F5C56"/>
          <w:sz w:val="24"/>
        </w:rPr>
        <w:t xml:space="preserve">2  </w:t>
      </w:r>
      <w:r>
        <w:rPr>
          <w:rFonts w:ascii="Georgia" w:hAnsi="Georgia"/>
          <w:b/>
          <w:color w:val="1C231F"/>
          <w:sz w:val="34"/>
        </w:rPr>
        <w:t>Периметр проекта</w:t>
      </w:r>
    </w:p>
    <w:p>
      <w:pPr>
        <w:spacing w:after="160"/>
      </w:pPr>
      <w:r>
        <w:rPr>
          <w:i w:val="0"/>
          <w:color w:val="1C231F"/>
          <w:sz w:val="21"/>
        </w:rPr>
        <w:t>Полная маршрутизация пациента в центре — четыре этапа. Мы отвечаем только за второй: решение МДГ о срочности и месте в очереди. Всё, что происходит физически в дневном стационаре и на аппарате, — компетенция другой команды/фазы.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ЭТАП</w:t>
            </w:r>
          </w:p>
        </w:tc>
        <w:tc>
          <w:tcPr>
            <w:tcW w:type="dxa" w:w="3249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ПЕРИМЕТР</w:t>
            </w:r>
          </w:p>
        </w:tc>
        <w:tc>
          <w:tcPr>
            <w:tcW w:type="dxa" w:w="3249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ЧТО ПРОИСХОДИТ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1. Поликлиника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вне периметра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Онколог по месту жительства, диспансерный учёт, ИИН пациента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2. МДГ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НАШ ПЕРИМЕТР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ИИН, кол-во сеансов, клиническая срочность → приоритет → предложенная дата старта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3. Дневной стационар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вне периметра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Подготовка плана ЛТ, 5 рабочих дней: иммобилизация, КТ, оконтуривание, дозиметрия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4. Аппарат ЛТ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вне периметра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Посуточное бронирование линейного ускорителя, реальные сеансы</w:t>
            </w:r>
          </w:p>
        </w:tc>
      </w:tr>
    </w:tbl>
    <w:p>
      <w:pPr>
        <w:spacing w:after="80"/>
      </w:pPr>
    </w:p>
    <w:p>
      <w:pPr>
        <w:spacing w:before="80" w:after="40"/>
        <w:ind w:left="170"/>
      </w:pPr>
      <w:r>
        <w:rPr>
          <w:b/>
          <w:color w:val="1C231F"/>
          <w:sz w:val="21"/>
        </w:rPr>
        <w:t>Важно:</w:t>
      </w:r>
    </w:p>
    <w:p>
      <w:pPr>
        <w:spacing w:after="280"/>
        <w:ind w:left="170"/>
      </w:pPr>
      <w:r>
        <w:rPr>
          <w:color w:val="57625A"/>
          <w:sz w:val="20"/>
        </w:rPr>
        <w:t>пациенту в итоге сообщают три даты — поступления, начала подготовки и начала лечения. Наш модуль формирует только «предложенную дату старта лечения»; дата реально сдвигается на 5 рабочих дней вперёд уже на этапе дневного стационара — это не наша логика, но дальнейшим модулям нужно будет это учитывать.</w:t>
      </w:r>
    </w:p>
    <w:p>
      <w:pPr>
        <w:spacing w:before="440" w:after="160"/>
      </w:pPr>
      <w:r>
        <w:rPr>
          <w:rFonts w:ascii="Consolas" w:hAnsi="Consolas"/>
          <w:b/>
          <w:color w:val="0F5C56"/>
          <w:sz w:val="24"/>
        </w:rPr>
        <w:t xml:space="preserve">3  </w:t>
      </w:r>
      <w:r>
        <w:rPr>
          <w:rFonts w:ascii="Georgia" w:hAnsi="Georgia"/>
          <w:b/>
          <w:color w:val="1C231F"/>
          <w:sz w:val="34"/>
        </w:rPr>
        <w:t>Роли пользователей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РОЛЬ</w:t>
            </w:r>
          </w:p>
        </w:tc>
        <w:tc>
          <w:tcPr>
            <w:tcW w:type="dxa" w:w="4873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ЧТО ДЕЛАЕТ В СИСТЕМЕ</w:t>
            </w:r>
          </w:p>
        </w:tc>
      </w:tr>
      <w:tr>
        <w:tc>
          <w:tcPr>
            <w:tcW w:type="dxa" w:w="4873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Врач МДГ</w:t>
            </w:r>
          </w:p>
        </w:tc>
        <w:tc>
          <w:tcPr>
            <w:tcW w:type="dxa" w:w="4873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Загружает карту, подтверждает извлечённые данные, выбирает категорию приоритета (обязательно вручную при конфликте сигналов), подтверждает предложенную дату старта лечения.</w:t>
            </w:r>
          </w:p>
        </w:tc>
      </w:tr>
      <w:tr>
        <w:tc>
          <w:tcPr>
            <w:tcW w:type="dxa" w:w="4873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Руководитель отделения (не реализовано)</w:t>
            </w:r>
          </w:p>
        </w:tc>
        <w:tc>
          <w:tcPr>
            <w:tcW w:type="dxa" w:w="4873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Смотрит дэшборд загрузки очереди и ёмкости, без права редактирования случаев.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 w:val="0"/>
          <w:color w:val="1C231F"/>
          <w:sz w:val="21"/>
        </w:rPr>
        <w:t>Разграничения доступа по ролям пока нет — авторизации в системе нет вообще (см. раздел 7). Оба сценария выше сейчас доступны любому, кто открыл приложение.</w:t>
      </w:r>
    </w:p>
    <w:p>
      <w:pPr>
        <w:spacing w:before="440" w:after="160"/>
      </w:pPr>
      <w:r>
        <w:rPr>
          <w:rFonts w:ascii="Consolas" w:hAnsi="Consolas"/>
          <w:b/>
          <w:color w:val="0F5C56"/>
          <w:sz w:val="24"/>
        </w:rPr>
        <w:t xml:space="preserve">4  </w:t>
      </w:r>
      <w:r>
        <w:rPr>
          <w:rFonts w:ascii="Georgia" w:hAnsi="Georgia"/>
          <w:b/>
          <w:color w:val="1C231F"/>
          <w:sz w:val="34"/>
        </w:rPr>
        <w:t>Функциональные требования</w:t>
      </w:r>
    </w:p>
    <w:p>
      <w:pPr>
        <w:spacing w:before="280" w:after="160"/>
      </w:pPr>
      <w:r>
        <w:rPr>
          <w:rFonts w:ascii="Consolas" w:hAnsi="Consolas"/>
          <w:b/>
          <w:color w:val="0F5C56"/>
          <w:sz w:val="21"/>
        </w:rPr>
        <w:t xml:space="preserve">4.1  </w:t>
      </w:r>
      <w:r>
        <w:rPr>
          <w:rFonts w:ascii="Georgia" w:hAnsi="Georgia"/>
          <w:b/>
          <w:color w:val="1C231F"/>
          <w:sz w:val="26"/>
        </w:rPr>
        <w:t>Загрузка и извлечение данных</w:t>
      </w:r>
    </w:p>
    <w:p>
      <w:r>
        <w:rPr>
          <w:rFonts w:ascii="Consolas" w:hAnsi="Consolas"/>
          <w:b/>
          <w:color w:val="0F5C56"/>
          <w:sz w:val="16"/>
        </w:rPr>
        <w:t xml:space="preserve">  РЕАЛИЗОВАНО  </w:t>
      </w:r>
    </w:p>
    <w:p>
      <w:pPr>
        <w:spacing w:after="160"/>
      </w:pPr>
      <w:r>
        <w:rPr>
          <w:i w:val="0"/>
          <w:color w:val="1C231F"/>
          <w:sz w:val="21"/>
        </w:rPr>
        <w:t>Врач загружает PDF медицинской карты. Текст вытаскивается через pdfplumber (только карты с текстовым слоем — сканы без OCR не поддерживаются, см. раздел 7). Дальше данные извлекаются в два прохода:</w:t>
      </w:r>
    </w:p>
    <w:p>
      <w:pPr>
        <w:pStyle w:val="ListBullet"/>
        <w:spacing w:after="80"/>
      </w:pPr>
      <w:r>
        <w:rPr>
          <w:color w:val="1C231F"/>
          <w:sz w:val="21"/>
        </w:rPr>
        <w:t>regex — ИИН (с проверкой контрольной суммы по алгоритму модуль-11), коды МКБ-10, даты; несколько кандидатов на ИИН отдаются врачу с пометкой валидности, автовыбор первого найденного не делается;</w:t>
      </w:r>
    </w:p>
    <w:p>
      <w:pPr>
        <w:pStyle w:val="ListBullet"/>
        <w:spacing w:after="80"/>
      </w:pPr>
      <w:r>
        <w:rPr>
          <w:color w:val="1C231F"/>
          <w:sz w:val="21"/>
        </w:rPr>
        <w:t>LLM (локальная модель через LM Studio, structured output по JSON-schema) — диагноз, метод лечения, клинический путь, сигналы срочности, кол-во сеансов, confidence по каждому полю. Секция «Выписной эпикриз» приоритизируется над черновыми дневниковыми записями.</w:t>
      </w:r>
    </w:p>
    <w:p>
      <w:pPr>
        <w:spacing w:after="160"/>
      </w:pPr>
      <w:r>
        <w:rPr>
          <w:i w:val="0"/>
          <w:color w:val="1C231F"/>
          <w:sz w:val="21"/>
        </w:rPr>
        <w:t>Система разделяет метод лечения (SRT/SRS/EBRT/IMRT/IGRT — как лечить) и клинический путь (что определяет срочность), чтобы избежать частой ошибки восприятия «SRT/радиохирургия = всегда наивысший приоритет». Если методика похожа на радиохирургию, а клинический путь плановый и острых сигналов нет — система помечает случай конфликтом сигналов и требует ручного решения врача, ничего не выбирает сама.</w:t>
      </w:r>
    </w:p>
    <w:p>
      <w:pPr>
        <w:spacing w:before="280" w:after="160"/>
      </w:pPr>
      <w:r>
        <w:rPr>
          <w:rFonts w:ascii="Consolas" w:hAnsi="Consolas"/>
          <w:b/>
          <w:color w:val="0F5C56"/>
          <w:sz w:val="21"/>
        </w:rPr>
        <w:t xml:space="preserve">4.2  </w:t>
      </w:r>
      <w:r>
        <w:rPr>
          <w:rFonts w:ascii="Georgia" w:hAnsi="Georgia"/>
          <w:b/>
          <w:color w:val="1C231F"/>
          <w:sz w:val="26"/>
        </w:rPr>
        <w:t>Приоритизация</w:t>
      </w:r>
    </w:p>
    <w:p>
      <w:r>
        <w:rPr>
          <w:rFonts w:ascii="Consolas" w:hAnsi="Consolas"/>
          <w:b/>
          <w:color w:val="0F5C56"/>
          <w:sz w:val="16"/>
        </w:rPr>
        <w:t xml:space="preserve">  РЕАЛИЗОВАНО  </w:t>
      </w:r>
    </w:p>
    <w:p>
      <w:pPr>
        <w:spacing w:after="160"/>
      </w:pPr>
      <w:r>
        <w:rPr>
          <w:i w:val="0"/>
          <w:color w:val="1C231F"/>
          <w:sz w:val="21"/>
        </w:rPr>
        <w:t>Категории приоритета заданы клинически, врач подтверждает финальный выбор на экране проверки: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СРОК</w:t>
            </w:r>
          </w:p>
        </w:tc>
        <w:tc>
          <w:tcPr>
            <w:tcW w:type="dxa" w:w="2436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КЛИНИЧЕСКАЯ ХАРАКТЕРИСТИКА</w:t>
            </w:r>
          </w:p>
        </w:tc>
        <w:tc>
          <w:tcPr>
            <w:tcW w:type="dxa" w:w="2436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КОД</w:t>
            </w:r>
          </w:p>
        </w:tc>
        <w:tc>
          <w:tcPr>
            <w:tcW w:type="dxa" w:w="2436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ОКНО ОЖИДАНИЯ</w:t>
            </w:r>
          </w:p>
        </w:tc>
      </w:tr>
      <w:tr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>
              <w:rPr>
                <w:b/>
                <w:color w:val="B3261E"/>
              </w:rPr>
            </w:r>
            <w:r>
              <w:rPr>
                <w:color w:val="1C231F"/>
                <w:sz w:val="19"/>
              </w:rPr>
              <w:t>Сразу начать</w:t>
            </w:r>
          </w:p>
        </w:tc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Боль, кровотечение, радиохирургия по факту остроты</w:t>
            </w:r>
          </w:p>
        </w:tc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immediate</w:t>
            </w:r>
          </w:p>
        </w:tc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3 дня</w:t>
            </w:r>
          </w:p>
        </w:tc>
      </w:tr>
      <w:tr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>
              <w:rPr>
                <w:b/>
                <w:color w:val="A15C00"/>
              </w:rPr>
            </w:r>
            <w:r>
              <w:rPr>
                <w:color w:val="1C231F"/>
                <w:sz w:val="19"/>
              </w:rPr>
              <w:t>1–2 недели</w:t>
            </w:r>
          </w:p>
        </w:tc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По мере готовности анализов</w:t>
            </w:r>
          </w:p>
        </w:tc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urgent_1_2w</w:t>
            </w:r>
          </w:p>
        </w:tc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14 дней</w:t>
            </w:r>
          </w:p>
        </w:tc>
      </w:tr>
      <w:tr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>
              <w:rPr>
                <w:b/>
                <w:color w:val="0F5C56"/>
              </w:rPr>
            </w:r>
            <w:r>
              <w:rPr>
                <w:color w:val="1C231F"/>
                <w:sz w:val="19"/>
              </w:rPr>
              <w:t>1–2 месяца</w:t>
            </w:r>
          </w:p>
        </w:tc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После операции, для профилактики</w:t>
            </w:r>
          </w:p>
        </w:tc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planned_1_2m</w:t>
            </w:r>
          </w:p>
        </w:tc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60 дней</w:t>
            </w:r>
          </w:p>
        </w:tc>
      </w:tr>
      <w:tr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>
              <w:rPr>
                <w:b/>
                <w:color w:val="4A5568"/>
              </w:rPr>
            </w:r>
            <w:r>
              <w:rPr>
                <w:color w:val="1C231F"/>
                <w:sz w:val="19"/>
              </w:rPr>
              <w:t>Через 3 месяца</w:t>
            </w:r>
          </w:p>
        </w:tc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После курсов химио- или гормонотерапии</w:t>
            </w:r>
          </w:p>
        </w:tc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low_3m</w:t>
            </w:r>
          </w:p>
        </w:tc>
        <w:tc>
          <w:tcPr>
            <w:tcW w:type="dxa" w:w="2436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90 дней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 w:val="0"/>
          <w:color w:val="1C231F"/>
          <w:sz w:val="21"/>
        </w:rPr>
        <w:t>Итоговый priority_score = базовый балл категории + бонус за время ожидания (aging), до +200 очков максимум — чтобы случай с низким приоритетом, который давно ждёт, постепенно поднимался в очереди, но никогда не обгонял категорию «сразу начать». Балл считается заново при каждом запросе очереди (на дату «сегодня»), а не один раз при создании случая — иначе бонус за ожидание всегда остаётся нулевым.</w:t>
      </w:r>
    </w:p>
    <w:p>
      <w:pPr>
        <w:spacing w:before="280" w:after="160"/>
      </w:pPr>
      <w:r>
        <w:rPr>
          <w:rFonts w:ascii="Consolas" w:hAnsi="Consolas"/>
          <w:b/>
          <w:color w:val="0F5C56"/>
          <w:sz w:val="21"/>
        </w:rPr>
        <w:t xml:space="preserve">4.3  </w:t>
      </w:r>
      <w:r>
        <w:rPr>
          <w:rFonts w:ascii="Georgia" w:hAnsi="Georgia"/>
          <w:b/>
          <w:color w:val="1C231F"/>
          <w:sz w:val="26"/>
        </w:rPr>
        <w:t>Очередь и месячная ёмкость</w:t>
      </w:r>
    </w:p>
    <w:p>
      <w:r>
        <w:rPr>
          <w:rFonts w:ascii="Consolas" w:hAnsi="Consolas"/>
          <w:b/>
          <w:color w:val="0F5C56"/>
          <w:sz w:val="16"/>
        </w:rPr>
        <w:t xml:space="preserve">  РЕАЛИЗОВАНО  </w:t>
      </w:r>
    </w:p>
    <w:p>
      <w:pPr>
        <w:spacing w:after="160"/>
      </w:pPr>
      <w:r>
        <w:rPr>
          <w:i w:val="0"/>
          <w:color w:val="1C231F"/>
          <w:sz w:val="21"/>
        </w:rPr>
        <w:t>Отделение может принять на лечение ограниченное число человек в календарный месяц (по умолчанию 60, настраивается). Это отдельный ресурс от «сеансов аппарата в день» — считается по людям, а не по слотам линейного ускорителя.</w:t>
      </w:r>
    </w:p>
    <w:p>
      <w:pPr>
        <w:pStyle w:val="ListNumber"/>
        <w:spacing w:after="80"/>
      </w:pPr>
      <w:r>
        <w:rPr>
          <w:color w:val="1C231F"/>
          <w:sz w:val="21"/>
        </w:rPr>
        <w:t>Система ищет первый месяц, начиная с текущего, где ещё есть свободное место.</w:t>
      </w:r>
    </w:p>
    <w:p>
      <w:pPr>
        <w:pStyle w:val="ListNumber"/>
        <w:spacing w:after="80"/>
      </w:pPr>
      <w:r>
        <w:rPr>
          <w:color w:val="1C231F"/>
          <w:sz w:val="21"/>
        </w:rPr>
        <w:t>Предлагает врачу до трёх дат старта внутри этого месяца, равномерно распределённых по рабочим дням, с пометкой, если дата выходит за клинический дедлайн случая.</w:t>
      </w:r>
    </w:p>
    <w:p>
      <w:pPr>
        <w:pStyle w:val="ListNumber"/>
        <w:spacing w:after="80"/>
      </w:pPr>
      <w:r>
        <w:rPr>
          <w:color w:val="1C231F"/>
          <w:sz w:val="21"/>
        </w:rPr>
        <w:t>Врач выбирает дату вручную и подтверждает — система ничего не бронирует автоматически.</w:t>
      </w:r>
    </w:p>
    <w:p>
      <w:pPr>
        <w:pStyle w:val="ListNumber"/>
        <w:spacing w:after="80"/>
      </w:pPr>
      <w:r>
        <w:rPr>
          <w:color w:val="1C231F"/>
          <w:sz w:val="21"/>
        </w:rPr>
        <w:t>При подтверждении ёмкость месяца перепроверяется ещё раз (защита от гонки, если два врача одновременно подтверждают последнее место).</w:t>
      </w:r>
    </w:p>
    <w:p>
      <w:pPr>
        <w:spacing w:before="280" w:after="160"/>
      </w:pPr>
      <w:r>
        <w:rPr>
          <w:rFonts w:ascii="Consolas" w:hAnsi="Consolas"/>
          <w:b/>
          <w:color w:val="0F5C56"/>
          <w:sz w:val="21"/>
        </w:rPr>
        <w:t xml:space="preserve">4.4  </w:t>
      </w:r>
      <w:r>
        <w:rPr>
          <w:rFonts w:ascii="Georgia" w:hAnsi="Georgia"/>
          <w:b/>
          <w:color w:val="1C231F"/>
          <w:sz w:val="26"/>
        </w:rPr>
        <w:t>Дэшборд</w:t>
      </w:r>
    </w:p>
    <w:p>
      <w:r>
        <w:rPr>
          <w:rFonts w:ascii="Consolas" w:hAnsi="Consolas"/>
          <w:b/>
          <w:color w:val="0F5C56"/>
          <w:sz w:val="16"/>
        </w:rPr>
        <w:t xml:space="preserve">  РЕАЛИЗОВАНО  </w:t>
      </w:r>
    </w:p>
    <w:p>
      <w:pPr>
        <w:pStyle w:val="ListBullet"/>
        <w:spacing w:after="80"/>
      </w:pPr>
      <w:r>
        <w:rPr>
          <w:color w:val="1C231F"/>
          <w:sz w:val="21"/>
        </w:rPr>
        <w:t>Состав очереди по категориям приоритета;</w:t>
      </w:r>
    </w:p>
    <w:p>
      <w:pPr>
        <w:pStyle w:val="ListBullet"/>
        <w:spacing w:after="80"/>
      </w:pPr>
      <w:r>
        <w:rPr>
          <w:color w:val="1C231F"/>
          <w:sz w:val="21"/>
        </w:rPr>
        <w:t>загрузка месячной ёмкости на 6 месяцев вперёд, с цветовой индикацией (&lt;70% / 70–99% / заполнен);</w:t>
      </w:r>
    </w:p>
    <w:p>
      <w:pPr>
        <w:pStyle w:val="ListBullet"/>
        <w:spacing w:after="80"/>
      </w:pPr>
      <w:r>
        <w:rPr>
          <w:color w:val="1C231F"/>
          <w:sz w:val="21"/>
        </w:rPr>
        <w:t>среднее время ожидания (от создания случая до подтверждённой даты старта) по категориям.</w:t>
      </w:r>
    </w:p>
    <w:p>
      <w:pPr>
        <w:spacing w:before="440" w:after="160"/>
      </w:pPr>
      <w:r>
        <w:rPr>
          <w:rFonts w:ascii="Consolas" w:hAnsi="Consolas"/>
          <w:b/>
          <w:color w:val="0F5C56"/>
          <w:sz w:val="24"/>
        </w:rPr>
        <w:t xml:space="preserve">5  </w:t>
      </w:r>
      <w:r>
        <w:rPr>
          <w:rFonts w:ascii="Georgia" w:hAnsi="Georgia"/>
          <w:b/>
          <w:color w:val="1C231F"/>
          <w:sz w:val="34"/>
        </w:rPr>
        <w:t>Модель данных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СУЩНОСТЬ</w:t>
            </w:r>
          </w:p>
        </w:tc>
        <w:tc>
          <w:tcPr>
            <w:tcW w:type="dxa" w:w="3249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КЛЮЧЕВЫЕ ПОЛЯ</w:t>
            </w:r>
          </w:p>
        </w:tc>
        <w:tc>
          <w:tcPr>
            <w:tcW w:type="dxa" w:w="3249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НАЗНАЧЕНИЕ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Patient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iin, full_name, birth_date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Пациент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SourceDocument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file_path, status, extracted_entities, confidence_scores, conflict_info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Загруженная карта и результаты извлечения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TreatmentCase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diagnosis_text, treatment_modality, clinical_pathway, priority_category, priority_score, clinical_deadline_date, planned_start_date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Курс лечения — несёт приоритет и место в очереди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MachineSlot / Session (вне периметра)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slot_date, time_start/end, status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Посуточное бронирование аппарата — задел под фазу «дневной стационар»</w:t>
            </w:r>
          </w:p>
        </w:tc>
      </w:tr>
    </w:tbl>
    <w:p>
      <w:pPr>
        <w:spacing w:after="80"/>
      </w:pPr>
    </w:p>
    <w:p>
      <w:pPr>
        <w:spacing w:before="440" w:after="160"/>
      </w:pPr>
      <w:r>
        <w:rPr>
          <w:rFonts w:ascii="Consolas" w:hAnsi="Consolas"/>
          <w:b/>
          <w:color w:val="0F5C56"/>
          <w:sz w:val="24"/>
        </w:rPr>
        <w:t xml:space="preserve">6  </w:t>
      </w:r>
      <w:r>
        <w:rPr>
          <w:rFonts w:ascii="Georgia" w:hAnsi="Georgia"/>
          <w:b/>
          <w:color w:val="1C231F"/>
          <w:sz w:val="34"/>
        </w:rPr>
        <w:t>API — блок МДГ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МЕТОД</w:t>
            </w:r>
          </w:p>
        </w:tc>
        <w:tc>
          <w:tcPr>
            <w:tcW w:type="dxa" w:w="3249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ПУТЬ</w:t>
            </w:r>
          </w:p>
        </w:tc>
        <w:tc>
          <w:tcPr>
            <w:tcW w:type="dxa" w:w="3249"/>
            <w:shd w:val="clear" w:fill="F1EFE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rFonts w:ascii="Consolas" w:hAnsi="Consolas"/>
                <w:b/>
                <w:color w:val="8A9189"/>
                <w:sz w:val="17"/>
              </w:rPr>
              <w:t>НАЗНАЧЕНИЕ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POST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/api/documents/upload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Загрузка PDF, извлечение текста + regex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POST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/api/documents/{id}/extract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LLM-извлечение + детекция конфликта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POST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/api/patients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Создать пациента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POST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/api/cases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Создать случай (после подтверждения врача)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GET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/api/cases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Очередь, отсортированная по живому priority_score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GET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/api/cases/{id}/suggested-dates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До 3 предложенных дат старта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POST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/api/cases/{id}/confirm-date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Подтвердить дату (с перепроверкой ёмкости)</w:t>
            </w:r>
          </w:p>
        </w:tc>
      </w:tr>
      <w:tr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GET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/api/cases/stats/dashboard</w:t>
            </w:r>
          </w:p>
        </w:tc>
        <w:tc>
          <w:tcPr>
            <w:tcW w:type="dxa" w:w="3249"/>
            <w:tcBorders>
              <w:top w:val="single" w:sz="4" w:color="E2E1D8"/>
              <w:left w:val="single" w:sz="4" w:color="E2E1D8"/>
              <w:bottom w:val="single" w:sz="4" w:color="E2E1D8"/>
              <w:right w:val="single" w:sz="4" w:color="E2E1D8"/>
            </w:tcBorders>
          </w:tcPr>
          <w:p>
            <w:r/>
            <w:r>
              <w:rPr>
                <w:color w:val="1C231F"/>
                <w:sz w:val="19"/>
              </w:rPr>
              <w:t>Агрегированная статистика очереди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 w:val="0"/>
          <w:color w:val="8A9189"/>
          <w:sz w:val="19"/>
        </w:rPr>
        <w:t>Полный список эндпоинтов, включая модуль /api/schedule/* (вне периметра), — в Swagger по адресу /docs.</w:t>
      </w:r>
    </w:p>
    <w:p>
      <w:pPr>
        <w:spacing w:before="440" w:after="160"/>
      </w:pPr>
      <w:r>
        <w:rPr>
          <w:rFonts w:ascii="Consolas" w:hAnsi="Consolas"/>
          <w:b/>
          <w:color w:val="0F5C56"/>
          <w:sz w:val="24"/>
        </w:rPr>
        <w:t xml:space="preserve">7  </w:t>
      </w:r>
      <w:r>
        <w:rPr>
          <w:rFonts w:ascii="Georgia" w:hAnsi="Georgia"/>
          <w:b/>
          <w:color w:val="1C231F"/>
          <w:sz w:val="34"/>
        </w:rPr>
        <w:t>Ограничения и технический долг</w:t>
      </w:r>
    </w:p>
    <w:p>
      <w:pPr>
        <w:spacing w:before="80" w:after="40"/>
        <w:ind w:left="170"/>
      </w:pPr>
      <w:r>
        <w:rPr>
          <w:rFonts w:ascii="Consolas" w:hAnsi="Consolas"/>
          <w:b/>
          <w:color w:val="B3261E"/>
          <w:sz w:val="16"/>
        </w:rPr>
        <w:t xml:space="preserve">  ОТКРЫТЫЙ БАГ  </w:t>
      </w:r>
      <w:r>
        <w:t xml:space="preserve">  </w:t>
      </w:r>
      <w:r>
        <w:rPr>
          <w:b/>
          <w:color w:val="1C231F"/>
          <w:sz w:val="21"/>
        </w:rPr>
        <w:t>Вытеснение (displacement) не работает end-to-end</w:t>
      </w:r>
    </w:p>
    <w:p>
      <w:pPr>
        <w:spacing w:after="280"/>
        <w:ind w:left="170"/>
      </w:pPr>
      <w:r>
        <w:rPr>
          <w:color w:val="57625A"/>
          <w:sz w:val="20"/>
        </w:rPr>
        <w:t>В модуле /api/schedule/* (вне текущего периметра, не трогали) роутер обращается к полю proposed_new_slot_id, которого нет ни в DisplacementCandidate, ни в Pydantic-схеме. Фронтенд ожидает это поле для подтверждения переноса — сейчас кнопка подтверждения вытеснения не сработает. Чинить имеет смысл вместе с фазой «аппарат/дневной стационар».</w:t>
      </w:r>
    </w:p>
    <w:p>
      <w:pPr>
        <w:spacing w:before="80" w:after="40"/>
        <w:ind w:left="170"/>
      </w:pPr>
      <w:r>
        <w:rPr>
          <w:rFonts w:ascii="Consolas" w:hAnsi="Consolas"/>
          <w:b/>
          <w:color w:val="8A4B00"/>
          <w:sz w:val="16"/>
        </w:rPr>
        <w:t xml:space="preserve">  ТЕХДОЛГ  </w:t>
      </w:r>
      <w:r>
        <w:t xml:space="preserve">  </w:t>
      </w:r>
      <w:r>
        <w:rPr>
          <w:b/>
          <w:color w:val="1C231F"/>
          <w:sz w:val="21"/>
        </w:rPr>
        <w:t>Безопасность и медданные</w:t>
      </w:r>
    </w:p>
    <w:p>
      <w:pPr>
        <w:spacing w:after="280"/>
        <w:ind w:left="170"/>
      </w:pPr>
      <w:r>
        <w:rPr>
          <w:color w:val="57625A"/>
          <w:sz w:val="20"/>
        </w:rPr>
        <w:t>ИИН хранится в БД в открытом виде (нужен pgcrypto). Авторизации и разграничения ролей нет вообще — любой, кто открыл приложение, может создавать случаи и подтверждать даты. Audit log отсутствует — нет истории, кто и когда принял решение по приоритету.</w:t>
      </w:r>
    </w:p>
    <w:p>
      <w:pPr>
        <w:spacing w:before="80" w:after="40"/>
        <w:ind w:left="170"/>
      </w:pPr>
      <w:r>
        <w:rPr>
          <w:rFonts w:ascii="Consolas" w:hAnsi="Consolas"/>
          <w:b/>
          <w:color w:val="8A4B00"/>
          <w:sz w:val="16"/>
        </w:rPr>
        <w:t xml:space="preserve">  ТЕХДОЛГ  </w:t>
      </w:r>
      <w:r>
        <w:t xml:space="preserve">  </w:t>
      </w:r>
      <w:r>
        <w:rPr>
          <w:b/>
          <w:color w:val="1C231F"/>
          <w:sz w:val="21"/>
        </w:rPr>
        <w:t>OCR и тесты</w:t>
      </w:r>
    </w:p>
    <w:p>
      <w:pPr>
        <w:spacing w:after="280"/>
        <w:ind w:left="170"/>
      </w:pPr>
      <w:r>
        <w:rPr>
          <w:color w:val="57625A"/>
          <w:sz w:val="20"/>
        </w:rPr>
        <w:t>Поддерживаются только PDF с текстовым слоем — сканы без распознавания не читаются. Автоматических тестов на priority_engine, queue_service и conflict_detection пока нет — вся проверка сейчас ручная (Swagger + ручные smoke-тесты).</w:t>
      </w:r>
    </w:p>
    <w:p>
      <w:pPr>
        <w:spacing w:before="440" w:after="160"/>
      </w:pPr>
      <w:r>
        <w:rPr>
          <w:rFonts w:ascii="Consolas" w:hAnsi="Consolas"/>
          <w:b/>
          <w:color w:val="0F5C56"/>
          <w:sz w:val="24"/>
        </w:rPr>
        <w:t xml:space="preserve">8  </w:t>
      </w:r>
      <w:r>
        <w:rPr>
          <w:rFonts w:ascii="Georgia" w:hAnsi="Georgia"/>
          <w:b/>
          <w:color w:val="1C231F"/>
          <w:sz w:val="34"/>
        </w:rPr>
        <w:t>Вне периметра — следующие фазы</w:t>
      </w:r>
    </w:p>
    <w:p>
      <w:pPr>
        <w:pStyle w:val="ListBullet"/>
        <w:spacing w:after="80"/>
      </w:pPr>
      <w:r>
        <w:rPr>
          <w:color w:val="1C231F"/>
          <w:sz w:val="21"/>
        </w:rPr>
        <w:t>Дневной стационар: 5-дневный процесс подготовки плана ЛТ (иммобилизация → КТ → оконтуривание → дозиметрия → утверждение плана) — сейчас нигде не смоделирован;</w:t>
      </w:r>
    </w:p>
    <w:p>
      <w:pPr>
        <w:pStyle w:val="ListBullet"/>
        <w:spacing w:after="80"/>
      </w:pPr>
      <w:r>
        <w:rPr>
          <w:color w:val="1C231F"/>
          <w:sz w:val="21"/>
        </w:rPr>
        <w:t>Аппарат ЛТ: посуточное бронирование линейного ускорителя — модуль MachineSlot/Session уже существует как задел, но не подключён к реальному процессу;</w:t>
      </w:r>
    </w:p>
    <w:p>
      <w:pPr>
        <w:pStyle w:val="ListBullet"/>
        <w:spacing w:after="80"/>
      </w:pPr>
      <w:r>
        <w:rPr>
          <w:color w:val="1C231F"/>
          <w:sz w:val="21"/>
        </w:rPr>
        <w:t>Вытеснение (displacement engine): есть черновая реализация с известным багом (см. раздел 7) — требует доработки вместе с фазой «аппарат»;</w:t>
      </w:r>
    </w:p>
    <w:p>
      <w:pPr>
        <w:pStyle w:val="ListBullet"/>
        <w:spacing w:after="80"/>
      </w:pPr>
      <w:r>
        <w:rPr>
          <w:color w:val="1C231F"/>
          <w:sz w:val="21"/>
        </w:rPr>
        <w:t>Шифрование ИИН, аутентификация, audit_log, OCR для сканов.</w:t>
      </w:r>
    </w:p>
    <w:p>
      <w:pPr>
        <w:spacing w:before="440" w:after="160"/>
      </w:pPr>
      <w:r>
        <w:rPr>
          <w:rFonts w:ascii="Consolas" w:hAnsi="Consolas"/>
          <w:b/>
          <w:color w:val="0F5C56"/>
          <w:sz w:val="24"/>
        </w:rPr>
        <w:t xml:space="preserve">9  </w:t>
      </w:r>
      <w:r>
        <w:rPr>
          <w:rFonts w:ascii="Georgia" w:hAnsi="Georgia"/>
          <w:b/>
          <w:color w:val="1C231F"/>
          <w:sz w:val="34"/>
        </w:rPr>
        <w:t>Открытые вопросы к МДГ</w:t>
      </w:r>
    </w:p>
    <w:p>
      <w:pPr>
        <w:pStyle w:val="ListNumber"/>
        <w:spacing w:after="80"/>
      </w:pPr>
      <w:r>
        <w:rPr>
          <w:color w:val="1C231F"/>
          <w:sz w:val="21"/>
        </w:rPr>
        <w:t>Ёмкость месяца считается по дате старта лечения — верно, что многосеансовый курс, начавшийся в конце месяца, занимает место только в месяце старта, даже если продолжается в следующем?</w:t>
      </w:r>
    </w:p>
    <w:p>
      <w:pPr>
        <w:pStyle w:val="ListNumber"/>
        <w:spacing w:after="80"/>
      </w:pPr>
      <w:r>
        <w:rPr>
          <w:color w:val="1C231F"/>
          <w:sz w:val="21"/>
        </w:rPr>
        <w:t>Лимит 60 человек/месяц — это жёсткий блок (мы сейчас не даём подтвердить дату сверх лимита) или это должна быть просто видимость нагрузки, а решение остаётся за врачом?</w:t>
      </w:r>
    </w:p>
    <w:p>
      <w:pPr>
        <w:pStyle w:val="ListNumber"/>
        <w:spacing w:after="80"/>
      </w:pPr>
      <w:r>
        <w:rPr>
          <w:color w:val="1C231F"/>
          <w:sz w:val="21"/>
        </w:rPr>
        <w:t>Если случай отменяется (cancelled) — место в месяце должно освобождаться автоматически? Сейчас логика это уже учитывает, но нет UI, чтобы отменить случай.</w:t>
      </w:r>
    </w:p>
    <w:p>
      <w:pPr>
        <w:pStyle w:val="ListNumber"/>
        <w:spacing w:after="80"/>
      </w:pPr>
      <w:r>
        <w:rPr>
          <w:color w:val="1C231F"/>
          <w:sz w:val="21"/>
        </w:rPr>
        <w:t>Внутри месяца, где есть место, мы сейчас предлагаем даты равномерно по рабочим дням без привязки к реальной загрузке по дням — устраивает ли МДГ такая точность, или нужна более тонкая настройка (например, не более N человек в день)?</w:t>
      </w:r>
    </w:p>
    <w:p>
      <w:pPr>
        <w:pStyle w:val="ListNumber"/>
        <w:spacing w:after="80"/>
      </w:pPr>
      <w:r>
        <w:rPr>
          <w:color w:val="1C231F"/>
          <w:sz w:val="21"/>
        </w:rPr>
        <w:t>Нужен ли вход per-врач (логин), чтобы фиксировать, кто именно подтвердил приоритет и дату — или пока достаточно поля «Ф.И.О. врача» текстом, как сейчас?</w:t>
      </w:r>
    </w:p>
    <w:p/>
    <w:p>
      <w:pPr>
        <w:spacing w:after="160"/>
      </w:pPr>
      <w:r>
        <w:rPr>
          <w:i/>
          <w:color w:val="8A9189"/>
          <w:sz w:val="17"/>
        </w:rPr>
        <w:t>RT Queue · ТЗ v1 · черновик для внутреннего обсуждения · составлено по итогам разбора кода и презентации МДГ Алматинского онкологического центра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7" w:lineRule="auto"/>
    </w:pPr>
    <w:rPr>
      <w:rFonts w:ascii="Calibri" w:hAnsi="Calibri"/>
      <w:color w:val="1C23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