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105/2021/NĐ-CP HƯỚNG DẪN THI HÀNH LUẬT PHÒNG, CHỐNG MA TUÝ</w:t>
      </w:r>
    </w:p>
    <w:p>
      <w:r>
        <w:t>CHÍNH PHỦ</w:t>
        <w:br/>
        <w:t>Số: 105/2021/NĐ-CP</w:t>
      </w:r>
    </w:p>
    <w:p>
      <w:r>
        <w:t>NGHỊ ĐỊNH</w:t>
        <w:br/>
        <w:t>QUY ĐỊNH CHI TIẾT VÀ HƯỚNG DẪN THI HÀNH MỘT SỐ ĐIỀU CỦA LUẬT PHÒNG, CHỐNG MA TUÝ</w:t>
      </w:r>
    </w:p>
    <w:p>
      <w:pPr>
        <w:pStyle w:val="Heading2"/>
      </w:pPr>
      <w:r>
        <w:t>Điều 1. Phạm vi điều chỉnh</w:t>
      </w:r>
    </w:p>
    <w:p>
      <w:r>
        <w:t>Nghị định này quy định chi tiết và hướng dẫn thi hành Điều 3, Điều 5, Điều 8, Điều 9, Điều 15, Điều 29, Điều 33, Điều 34 và Điều 36 của Luật Phòng, chống ma tuý.</w:t>
      </w:r>
    </w:p>
    <w:p>
      <w:pPr>
        <w:pStyle w:val="Heading2"/>
      </w:pPr>
      <w:r>
        <w:t>Điều 2. Đối tượng áp dụng</w:t>
      </w:r>
    </w:p>
    <w:p>
      <w:r>
        <w:t>Nghị định này áp dụng đối với:</w:t>
        <w:br/>
        <w:t>1. Cơ quan nhà nước, tổ chức chính trị, tổ chức chính trị - xã hội, tổ chức xã hội, tổ chức kinh tế, đơn vị vũ trang nhân dân.</w:t>
        <w:br/>
        <w:t>2. Công dân Việt Nam, người Việt Nam định cư ở nước ngoài.</w:t>
        <w:br/>
        <w:t>3. Người nước ngoài cư trú hoặc làm việc tại Việt Nam.</w:t>
      </w:r>
    </w:p>
    <w:p>
      <w:pPr>
        <w:pStyle w:val="Heading2"/>
      </w:pPr>
      <w:r>
        <w:t>Chương I. KIỂM SOÁT CÁC CHẤT MA TUÝ, TIỀN CHẤT</w:t>
      </w:r>
    </w:p>
    <w:p>
      <w:pPr>
        <w:pStyle w:val="Heading2"/>
      </w:pPr>
      <w:r>
        <w:t>Điều 3. Danh mục chất ma tuý</w:t>
      </w:r>
    </w:p>
    <w:p>
      <w:r>
        <w:t>1. Danh mục I: Các chất ma tuý tuyệt đối cấm sử dụng trong y học và đời sống xã hội gồm:</w:t>
        <w:br/>
        <w:t xml:space="preserve">   - Heroin (diacetylmorphine)</w:t>
        <w:br/>
        <w:t xml:space="preserve">   - Cocain</w:t>
        <w:br/>
        <w:t xml:space="preserve">   - Amphetamine</w:t>
        <w:br/>
        <w:t xml:space="preserve">   - Methamphetamine (ma túy đá)</w:t>
        <w:br/>
        <w:t xml:space="preserve">   - MDMA (ecstasy)</w:t>
        <w:br/>
        <w:t xml:space="preserve">   - Các chất tổng hợp nguy hiểm khác</w:t>
      </w:r>
    </w:p>
    <w:p>
      <w:r>
        <w:t>2. Danh mục II: Các chất ma tuý được dùng hạn chế trong y học gồm:</w:t>
        <w:br/>
        <w:t xml:space="preserve">   - Morphine (trong điều trị giảm đau)</w:t>
        <w:br/>
        <w:t xml:space="preserve">   - Codeine</w:t>
        <w:br/>
        <w:t xml:space="preserve">   - Methadone (trong điều trị nghiện)</w:t>
        <w:br/>
        <w:t xml:space="preserve">   - Các opioid khác dùng trong y tế</w:t>
      </w:r>
    </w:p>
    <w:p>
      <w:r>
        <w:t>3. Danh mục III: Các chất ma tuý được dùng trong y học và đời sống xã hội nhưng cần kiểm soát.</w:t>
      </w:r>
    </w:p>
    <w:p>
      <w:pPr>
        <w:pStyle w:val="Heading2"/>
      </w:pPr>
      <w:r>
        <w:t>Điều 4. Kiểm soát tiền chất</w:t>
      </w:r>
    </w:p>
    <w:p>
      <w:r>
        <w:t>1. Tiền chất thuộc Danh mục I: Nghiêm cấm tất cả hoạt động liên quan.</w:t>
        <w:br/>
        <w:t>2. Tiền chất thuộc Danh mục II: Được phép sản xuất, kinh doanh có điều kiện.</w:t>
        <w:br/>
        <w:t>3. Tiền chất thuộc Danh mục III: Được phép lưu thông nhưng phải kê khai và báo cáo.</w:t>
      </w:r>
    </w:p>
    <w:p>
      <w:pPr>
        <w:pStyle w:val="Heading2"/>
      </w:pPr>
      <w:r>
        <w:t>Chương II. CAI NGHIỆN MA TUÝ TỰ NGUYỆN TẠI GIA ĐÌNH VÀ CỘNG ĐỒNG</w:t>
      </w:r>
    </w:p>
    <w:p>
      <w:pPr>
        <w:pStyle w:val="Heading2"/>
      </w:pPr>
      <w:r>
        <w:t>Điều 10. Cai nghiện tự nguyện tại gia đình</w:t>
      </w:r>
    </w:p>
    <w:p>
      <w:r>
        <w:t>1. Người nghiện ma tuý được cai nghiện tại gia đình theo hình thức tự nguyện.</w:t>
        <w:br/>
        <w:t>2. Gia đình có trách nhiệm:</w:t>
        <w:br/>
        <w:t xml:space="preserve">   a) Giám sát việc cai nghiện;</w:t>
        <w:br/>
        <w:t xml:space="preserve">   b) Thông báo cho cơ quan có thẩm quyền về tình trạng người nghiện;</w:t>
        <w:br/>
        <w:t xml:space="preserve">   c) Phối hợp với cán bộ y tế trong quá trình cai nghiện.</w:t>
      </w:r>
    </w:p>
    <w:p>
      <w:pPr>
        <w:pStyle w:val="Heading2"/>
      </w:pPr>
      <w:r>
        <w:t>Điều 11. Hỗ trợ cai nghiện tại cộng đồng</w:t>
      </w:r>
    </w:p>
    <w:p>
      <w:r>
        <w:t>1. Ủy ban nhân dân cấp xã tổ chức, hỗ trợ cai nghiện tại cộng đồng.</w:t>
        <w:br/>
        <w:t>2. Người nghiện tham gia cai nghiện tại cộng đồng được hỗ trợ:</w:t>
        <w:br/>
        <w:t xml:space="preserve">   a) Tư vấn tâm lý;</w:t>
        <w:br/>
        <w:t xml:space="preserve">   b) Điều trị thay thế bằng Methadone;</w:t>
        <w:br/>
        <w:t xml:space="preserve">   c) Hỗ trợ học nghề và việc làm.</w:t>
      </w:r>
    </w:p>
    <w:p>
      <w:pPr>
        <w:pStyle w:val="Heading2"/>
      </w:pPr>
      <w:r>
        <w:t>Điều 20. Cai nghiện bắt buộc</w:t>
      </w:r>
    </w:p>
    <w:p>
      <w:r>
        <w:t>1. Thẩm quyền quyết định áp dụng biện pháp đưa vào cơ sở cai nghiện bắt buộc thuộc về Tòa án nhân dân cấp huyện.</w:t>
        <w:br/>
        <w:t>2. Hồ sơ đề nghị bao gồm:</w:t>
        <w:br/>
        <w:t xml:space="preserve">   a) Biên bản xác định tình trạng nghiện ma tuý;</w:t>
        <w:br/>
        <w:t xml:space="preserve">   b) Tài liệu về nhân thân người nghiện;</w:t>
        <w:br/>
        <w:t xml:space="preserve">   c) Các tài liệu khác liên quan.</w:t>
      </w:r>
    </w:p>
    <w:p>
      <w:pPr>
        <w:pStyle w:val="Heading2"/>
      </w:pPr>
      <w:r>
        <w:t>Điều 25. Quyền của người cai nghiện</w:t>
      </w:r>
    </w:p>
    <w:p>
      <w:r>
        <w:t>1. Được hưởng chế độ ăn, ở, mặc theo quy định.</w:t>
        <w:br/>
        <w:t>2. Được chăm sóc sức khỏe, điều trị bệnh.</w:t>
        <w:br/>
        <w:t>3. Được học văn hóa, học nghề.</w:t>
        <w:br/>
        <w:t>4. Được liên lạc với gia đình.</w:t>
        <w:br/>
        <w:t>5. Được phép về thăm gia đình trong các trường hợp đặc biệt.</w:t>
      </w:r>
    </w:p>
    <w:p>
      <w:pPr>
        <w:pStyle w:val="Heading2"/>
      </w:pPr>
      <w:r>
        <w:t>Chương III. TÁI HÒA NHẬP CỘNG ĐỒNG</w:t>
      </w:r>
    </w:p>
    <w:p>
      <w:pPr>
        <w:pStyle w:val="Heading2"/>
      </w:pPr>
      <w:r>
        <w:t>Điều 30. Hỗ trợ sau cai nghiện</w:t>
      </w:r>
    </w:p>
    <w:p>
      <w:r>
        <w:t>1. Người hoàn thành chương trình cai nghiện được hỗ trợ:</w:t>
        <w:br/>
        <w:t xml:space="preserve">   a) Giới thiệu việc làm;</w:t>
        <w:br/>
        <w:t xml:space="preserve">   b) Hỗ trợ học nghề;</w:t>
        <w:br/>
        <w:t xml:space="preserve">   c) Vay vốn tạo việc làm;</w:t>
        <w:br/>
        <w:t xml:space="preserve">   d) Tư vấn, hỗ trợ tâm lý.</w:t>
        <w:br/>
        <w:t>2. Thời gian hỗ trợ tối đa 01 năm sau khi hoàn thành chương trình cai nghiện.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