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1B2A4A" w:val="clear"/>
            <w:tcMar>
              <w:top w:type="dxa" w:w="200"/>
              <w:left w:type="dxa" w:w="200"/>
              <w:bottom w:type="dxa" w:w="200"/>
              <w:right w:type="dxa" w:w="200"/>
            </w:tcMar>
            <w:vAlign w:val="top"/>
          </w:tcPr>
          <w:p>
            <w:pPr>
              <w:spacing w:after="0" w:before="0"/>
              <w:jc w:val="center"/>
            </w:pPr>
            <w:r>
              <w:rPr>
                <w:rFonts w:ascii="Arial" w:cs="Arial" w:eastAsia="Arial" w:hAnsi="Arial"/>
                <w:b/>
                <w:bCs/>
                <w:i w:val="false"/>
                <w:iCs w:val="false"/>
                <w:color w:val="FFFFFF"/>
                <w:sz w:val="28"/>
                <w:szCs w:val="28"/>
              </w:rPr>
              <w:t xml:space="preserve">RESOLUTE COMPLIANCE ADVISORY LLP</w:t>
            </w:r>
          </w:p>
          <w:p>
            <w:pPr>
              <w:spacing w:after="0" w:before="0"/>
              <w:jc w:val="center"/>
            </w:pPr>
            <w:r>
              <w:rPr>
                <w:rFonts w:ascii="Arial" w:cs="Arial" w:eastAsia="Arial" w:hAnsi="Arial"/>
                <w:b w:val="false"/>
                <w:bCs w:val="false"/>
                <w:i/>
                <w:iCs/>
                <w:color w:val="C8A951"/>
                <w:sz w:val="18"/>
                <w:szCs w:val="18"/>
              </w:rPr>
              <w:t xml:space="preserve">Governance  ·  Risk  ·  Compliance</w:t>
            </w:r>
          </w:p>
        </w:tc>
      </w:tr>
    </w:tbl>
    <w:p>
      <w:pPr>
        <w:spacing w:after="400" w:before="0"/>
        <w:jc w:val="left"/>
      </w:pPr>
      <w:r>
        <w:t xml:space="preserve"> </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EEF1F7" w:val="clear"/>
            <w:tcMar>
              <w:top w:type="dxa" w:w="160"/>
              <w:left w:type="dxa" w:w="200"/>
              <w:bottom w:type="dxa" w:w="160"/>
              <w:right w:type="dxa" w:w="200"/>
            </w:tcMar>
            <w:vAlign w:val="top"/>
          </w:tcPr>
          <w:p>
            <w:pPr>
              <w:spacing w:after="0" w:before="0"/>
              <w:jc w:val="center"/>
            </w:pPr>
            <w:r>
              <w:rPr>
                <w:rFonts w:ascii="Arial" w:cs="Arial" w:eastAsia="Arial" w:hAnsi="Arial"/>
                <w:b/>
                <w:bCs/>
                <w:i w:val="false"/>
                <w:iCs w:val="false"/>
                <w:color w:val="1B2A4A"/>
                <w:sz w:val="22"/>
                <w:szCs w:val="22"/>
              </w:rPr>
              <w:t xml:space="preserve">ENGAGEMENT LETTER &amp; SCOPE OF WORK</w:t>
            </w:r>
          </w:p>
          <w:p>
            <w:pPr>
              <w:spacing w:after="0" w:before="0"/>
              <w:jc w:val="center"/>
            </w:pPr>
            <w:r>
              <w:rPr>
                <w:rFonts w:ascii="Arial" w:cs="Arial" w:eastAsia="Arial" w:hAnsi="Arial"/>
                <w:b w:val="false"/>
                <w:bCs w:val="false"/>
                <w:i/>
                <w:iCs/>
                <w:color w:val="666666"/>
                <w:sz w:val="20"/>
                <w:szCs w:val="20"/>
              </w:rPr>
              <w:t xml:space="preserve">ECC-2:2024 Delta Assessment — Al Ameen Insurance Company</w:t>
            </w:r>
          </w:p>
        </w:tc>
      </w:tr>
    </w:tbl>
    <w:p>
      <w:pPr>
        <w:spacing w:after="400" w:before="0"/>
        <w:jc w:val="left"/>
      </w:pPr>
      <w:r>
        <w:t xml:space="preserve"> </w:t>
      </w:r>
    </w:p>
    <w:tbl>
      <w:tblPr>
        <w:tblW w:type="dxa" w:w="9746"/>
        <w:tblBorders>
          <w:top w:val="single" w:color="CCCCCC" w:sz="1"/>
          <w:left w:val="none" w:color="FFFFFF" w:sz="0"/>
          <w:bottom w:val="single" w:color="CCCCCC" w:sz="1"/>
          <w:right w:val="none" w:color="FFFFFF" w:sz="0"/>
          <w:insideH w:val="single" w:color="auto" w:sz="4"/>
          <w:insideV w:val="single" w:color="auto" w:sz="4"/>
        </w:tblBorders>
      </w:tblPr>
      <w:tblGrid>
        <w:gridCol w:w="200"/>
        <w:gridCol w:w="9546"/>
      </w:tblGrid>
      <w:tr>
        <w:tc>
          <w:tcPr>
            <w:tcW w:type="dxa" w:w="200"/>
            <w:tcBorders>
              <w:top w:val="none" w:color="FFFFFF" w:sz="0"/>
              <w:left w:val="none" w:color="FFFFFF" w:sz="0"/>
              <w:bottom w:val="none" w:color="FFFFFF" w:sz="0"/>
              <w:right w:val="none" w:color="FFFFFF" w:sz="0"/>
            </w:tcBorders>
            <w:shd w:fill="C8A951" w:val="clear"/>
            <w:tcMar>
              <w:top w:type="dxa" w:w="0"/>
              <w:left w:type="dxa" w:w="0"/>
              <w:bottom w:type="dxa" w:w="0"/>
              <w:right w:type="dxa" w:w="0"/>
            </w:tcMar>
            <w:vAlign w:val="top"/>
          </w:tcPr>
          <w:p>
            <w:pPr>
              <w:spacing w:after="0" w:before="0"/>
              <w:jc w:val="left"/>
            </w:pPr>
            <w:r>
              <w:rPr>
                <w:rFonts w:ascii="Arial" w:cs="Arial" w:eastAsia="Arial" w:hAnsi="Arial"/>
                <w:b w:val="false"/>
                <w:bCs w:val="false"/>
                <w:i w:val="false"/>
                <w:iCs w:val="false"/>
                <w:color w:val="1A1A1A"/>
                <w:sz w:val="1"/>
                <w:szCs w:val="1"/>
              </w:rPr>
              <w:t xml:space="preserve"/>
            </w:r>
          </w:p>
        </w:tc>
        <w:tc>
          <w:tcPr>
            <w:tcW w:type="dxa" w:w="9546"/>
            <w:tcBorders>
              <w:top w:val="none" w:color="FFFFFF" w:sz="0"/>
              <w:left w:val="none" w:color="FFFFFF" w:sz="0"/>
              <w:bottom w:val="none" w:color="FFFFFF" w:sz="0"/>
              <w:right w:val="none" w:color="FFFFFF" w:sz="0"/>
            </w:tcBorders>
            <w:shd w:fill="FFFFFF" w:val="clear"/>
            <w:tcMar>
              <w:top w:type="dxa" w:w="160"/>
              <w:left w:type="dxa" w:w="0"/>
              <w:bottom w:type="dxa" w:w="160"/>
              <w:right w:type="dxa" w:w="120"/>
            </w:tcMar>
            <w:vAlign w:val="top"/>
          </w:tcPr>
          <w:p>
            <w:pPr>
              <w:spacing w:after="0" w:before="0"/>
              <w:ind w:left="160"/>
              <w:jc w:val="left"/>
            </w:pPr>
            <w:r>
              <w:rPr>
                <w:rFonts w:ascii="Arial" w:cs="Arial" w:eastAsia="Arial" w:hAnsi="Arial"/>
                <w:b w:val="false"/>
                <w:bCs w:val="false"/>
                <w:i/>
                <w:iCs/>
                <w:color w:val="666666"/>
                <w:sz w:val="16"/>
                <w:szCs w:val="16"/>
              </w:rPr>
              <w:t xml:space="preserve">Prepared for</w:t>
            </w:r>
          </w:p>
          <w:p>
            <w:pPr>
              <w:spacing w:after="0" w:before="0"/>
              <w:ind w:left="160"/>
              <w:jc w:val="left"/>
            </w:pPr>
            <w:r>
              <w:rPr>
                <w:rFonts w:ascii="Arial" w:cs="Arial" w:eastAsia="Arial" w:hAnsi="Arial"/>
                <w:b/>
                <w:bCs/>
                <w:i w:val="false"/>
                <w:iCs w:val="false"/>
                <w:color w:val="1B2A4A"/>
                <w:sz w:val="26"/>
                <w:szCs w:val="26"/>
              </w:rPr>
              <w:t xml:space="preserve">Al Ameen Insurance Company</w:t>
            </w:r>
          </w:p>
          <w:p>
            <w:pPr>
              <w:spacing w:after="0" w:before="0"/>
              <w:ind w:left="160"/>
              <w:jc w:val="left"/>
            </w:pPr>
            <w:r>
              <w:rPr>
                <w:rFonts w:ascii="Arial" w:cs="Arial" w:eastAsia="Arial" w:hAnsi="Arial"/>
                <w:b w:val="false"/>
                <w:bCs w:val="false"/>
                <w:i w:val="false"/>
                <w:iCs w:val="false"/>
                <w:color w:val="666666"/>
                <w:sz w:val="18"/>
                <w:szCs w:val="18"/>
              </w:rPr>
              <w:t xml:space="preserve">Insurance  ·  Riyadh, Kingdom of Saudi Arabia</w:t>
            </w:r>
          </w:p>
          <w:p>
            <w:pPr>
              <w:spacing w:after="60" w:before="0"/>
              <w:jc w:val="left"/>
            </w:pPr>
            <w:r>
              <w:t xml:space="preserve"> </w:t>
            </w:r>
          </w:p>
          <w:p>
            <w:pPr>
              <w:spacing w:after="0" w:before="0"/>
              <w:ind w:left="160"/>
              <w:jc w:val="left"/>
            </w:pPr>
            <w:r>
              <w:rPr>
                <w:rFonts w:ascii="Arial" w:cs="Arial" w:eastAsia="Arial" w:hAnsi="Arial"/>
                <w:b w:val="false"/>
                <w:bCs w:val="false"/>
                <w:i w:val="false"/>
                <w:iCs w:val="false"/>
                <w:color w:val="1A1A1A"/>
                <w:sz w:val="18"/>
                <w:szCs w:val="18"/>
              </w:rPr>
              <w:t xml:space="preserve">Engagement Period:  03 February 2025 – 30 April 2025</w:t>
            </w:r>
          </w:p>
        </w:tc>
      </w:tr>
    </w:tbl>
    <w:p>
      <w:pPr>
        <w:spacing w:after="300" w:before="0"/>
        <w:jc w:val="left"/>
      </w:pPr>
      <w:r>
        <w:t xml:space="preserve"> </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c>
          <w:tcPr>
            <w:tcW w:type="dxa" w:w="3248"/>
            <w:tcBorders>
              <w:top w:val="single" w:color="CCCCCC" w:sz="1"/>
              <w:left w:val="single" w:color="CCCCCC" w:sz="1"/>
              <w:bottom w:val="single" w:color="CCCCCC" w:sz="1"/>
              <w:right w:val="single" w:color="CCCCCC" w:sz="1"/>
            </w:tcBorders>
            <w:tcMar>
              <w:top w:type="dxa" w:w="120"/>
              <w:left w:type="dxa" w:w="140"/>
              <w:bottom w:type="dxa" w:w="120"/>
              <w:right w:type="dxa" w:w="120"/>
            </w:tcMar>
            <w:vAlign w:val="top"/>
          </w:tcPr>
          <w:p>
            <w:pPr>
              <w:spacing w:after="0" w:before="0"/>
              <w:jc w:val="left"/>
            </w:pPr>
            <w:r>
              <w:rPr>
                <w:rFonts w:ascii="Arial" w:cs="Arial" w:eastAsia="Arial" w:hAnsi="Arial"/>
                <w:b w:val="false"/>
                <w:bCs w:val="false"/>
                <w:i/>
                <w:iCs/>
                <w:color w:val="666666"/>
                <w:sz w:val="16"/>
                <w:szCs w:val="16"/>
              </w:rPr>
              <w:t xml:space="preserve">Prepared by</w:t>
            </w:r>
          </w:p>
          <w:p>
            <w:pPr>
              <w:spacing w:after="0" w:before="0"/>
              <w:jc w:val="left"/>
            </w:pPr>
            <w:r>
              <w:rPr>
                <w:rFonts w:ascii="Arial" w:cs="Arial" w:eastAsia="Arial" w:hAnsi="Arial"/>
                <w:b/>
                <w:bCs/>
                <w:i w:val="false"/>
                <w:iCs w:val="false"/>
                <w:color w:val="1B2A4A"/>
                <w:sz w:val="20"/>
                <w:szCs w:val="20"/>
              </w:rPr>
              <w:t xml:space="preserve">kay Shahbaaz</w:t>
            </w:r>
          </w:p>
          <w:p>
            <w:pPr>
              <w:spacing w:after="0" w:before="0"/>
              <w:jc w:val="left"/>
            </w:pPr>
            <w:r>
              <w:rPr>
                <w:rFonts w:ascii="Arial" w:cs="Arial" w:eastAsia="Arial" w:hAnsi="Arial"/>
                <w:b w:val="false"/>
                <w:bCs w:val="false"/>
                <w:i w:val="false"/>
                <w:iCs w:val="false"/>
                <w:color w:val="666666"/>
                <w:sz w:val="18"/>
                <w:szCs w:val="18"/>
              </w:rPr>
              <w:t xml:space="preserve">GRC Auditor</w:t>
            </w:r>
          </w:p>
        </w:tc>
        <w:tc>
          <w:tcPr>
            <w:tcW w:type="dxa" w:w="3248"/>
            <w:tcBorders>
              <w:top w:val="single" w:color="CCCCCC" w:sz="1"/>
              <w:left w:val="single" w:color="CCCCCC" w:sz="1"/>
              <w:bottom w:val="single" w:color="CCCCCC" w:sz="1"/>
              <w:right w:val="single" w:color="CCCCCC" w:sz="1"/>
            </w:tcBorders>
            <w:tcMar>
              <w:top w:type="dxa" w:w="120"/>
              <w:left w:type="dxa" w:w="140"/>
              <w:bottom w:type="dxa" w:w="120"/>
              <w:right w:type="dxa" w:w="120"/>
            </w:tcMar>
            <w:vAlign w:val="top"/>
          </w:tcPr>
          <w:p>
            <w:pPr>
              <w:spacing w:after="0" w:before="0"/>
              <w:jc w:val="left"/>
            </w:pPr>
            <w:r>
              <w:rPr>
                <w:rFonts w:ascii="Arial" w:cs="Arial" w:eastAsia="Arial" w:hAnsi="Arial"/>
                <w:b w:val="false"/>
                <w:bCs w:val="false"/>
                <w:i/>
                <w:iCs/>
                <w:color w:val="666666"/>
                <w:sz w:val="16"/>
                <w:szCs w:val="16"/>
              </w:rPr>
              <w:t xml:space="preserve">Date</w:t>
            </w:r>
          </w:p>
          <w:p>
            <w:pPr>
              <w:spacing w:after="0" w:before="0"/>
              <w:jc w:val="left"/>
            </w:pPr>
            <w:r>
              <w:rPr>
                <w:rFonts w:ascii="Arial" w:cs="Arial" w:eastAsia="Arial" w:hAnsi="Arial"/>
                <w:b/>
                <w:bCs/>
                <w:i w:val="false"/>
                <w:iCs w:val="false"/>
                <w:color w:val="1B2A4A"/>
                <w:sz w:val="20"/>
                <w:szCs w:val="20"/>
              </w:rPr>
              <w:t xml:space="preserve">03 February 2025</w:t>
            </w:r>
          </w:p>
        </w:tc>
        <w:tc>
          <w:tcPr>
            <w:tcW w:type="dxa" w:w="3250"/>
            <w:tcBorders>
              <w:top w:val="single" w:color="CCCCCC" w:sz="1"/>
              <w:left w:val="single" w:color="CCCCCC" w:sz="1"/>
              <w:bottom w:val="single" w:color="CCCCCC" w:sz="1"/>
              <w:right w:val="single" w:color="CCCCCC" w:sz="1"/>
            </w:tcBorders>
            <w:tcMar>
              <w:top w:type="dxa" w:w="120"/>
              <w:left w:type="dxa" w:w="140"/>
              <w:bottom w:type="dxa" w:w="120"/>
              <w:right w:type="dxa" w:w="120"/>
            </w:tcMar>
            <w:vAlign w:val="top"/>
          </w:tcPr>
          <w:p>
            <w:pPr>
              <w:spacing w:after="0" w:before="0"/>
              <w:jc w:val="left"/>
            </w:pPr>
            <w:r>
              <w:rPr>
                <w:rFonts w:ascii="Arial" w:cs="Arial" w:eastAsia="Arial" w:hAnsi="Arial"/>
                <w:b w:val="false"/>
                <w:bCs w:val="false"/>
                <w:i/>
                <w:iCs/>
                <w:color w:val="666666"/>
                <w:sz w:val="16"/>
                <w:szCs w:val="16"/>
              </w:rPr>
              <w:t xml:space="preserve">Document Ref</w:t>
            </w:r>
          </w:p>
          <w:p>
            <w:pPr>
              <w:spacing w:after="0" w:before="0"/>
              <w:jc w:val="left"/>
            </w:pPr>
            <w:r>
              <w:rPr>
                <w:rFonts w:ascii="Arial" w:cs="Arial" w:eastAsia="Arial" w:hAnsi="Arial"/>
                <w:b/>
                <w:bCs/>
                <w:i w:val="false"/>
                <w:iCs w:val="false"/>
                <w:color w:val="1B2A4A"/>
                <w:sz w:val="20"/>
                <w:szCs w:val="20"/>
              </w:rPr>
              <w:t xml:space="preserve">RCA-P3C-001</w:t>
            </w:r>
          </w:p>
        </w:tc>
      </w:tr>
    </w:tbl>
    <w:p>
      <w:pPr>
        <w:spacing w:after="300" w:before="0"/>
        <w:jc w:val="left"/>
      </w:pPr>
      <w:r>
        <w:t xml:space="preserve"> </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EEF1F7" w:val="clear"/>
            <w:tcMar>
              <w:top w:type="dxa" w:w="120"/>
              <w:left w:type="dxa" w:w="160"/>
              <w:bottom w:type="dxa" w:w="120"/>
              <w:right w:type="dxa" w:w="160"/>
            </w:tcMar>
            <w:vAlign w:val="top"/>
          </w:tcPr>
          <w:p>
            <w:pPr>
              <w:spacing w:after="0" w:before="0"/>
              <w:jc w:val="left"/>
            </w:pPr>
            <w:r>
              <w:rPr>
                <w:rFonts w:ascii="Arial" w:cs="Arial" w:eastAsia="Arial" w:hAnsi="Arial"/>
                <w:b/>
                <w:bCs/>
                <w:i w:val="false"/>
                <w:iCs w:val="false"/>
                <w:color w:val="1B2A4A"/>
                <w:sz w:val="17"/>
                <w:szCs w:val="17"/>
              </w:rPr>
              <w:t xml:space="preserve">CONFIDENTIALITY NOTICE  </w:t>
            </w:r>
            <w:r>
              <w:rPr>
                <w:rFonts w:ascii="Arial" w:cs="Arial" w:eastAsia="Arial" w:hAnsi="Arial"/>
                <w:b w:val="false"/>
                <w:bCs w:val="false"/>
                <w:i/>
                <w:iCs/>
                <w:color w:val="666666"/>
                <w:sz w:val="17"/>
                <w:szCs w:val="17"/>
              </w:rPr>
              <w:t xml:space="preserve">This document is prepared exclusively for Al Ameen Insurance Company and contains confidential and proprietary information belonging to Resolute Compliance Advisory LLP. It may not be disclosed, reproduced, or distributed to any third party without the prior written consent of Resolute Compliance Advisory LLP. Unauthorised use or disclosure is strictly prohibited.</w:t>
            </w:r>
          </w:p>
        </w:tc>
      </w:tr>
    </w:tbl>
    <w:p>
      <w:pPr>
        <w:spacing w:after="0" w:before="0"/>
        <w:jc w:val="left"/>
      </w:pPr>
      <w:r>
        <w:br w:type="page"/>
      </w:r>
    </w:p>
    <w:p>
      <w:pPr>
        <w:sectPr>
          <w:pgSz w:w="11906" w:h="16838" w:orient="portrait"/>
          <w:pgMar w:top="1080" w:right="1080" w:bottom="1080" w:left="1080" w:header="708" w:footer="708" w:gutter="0"/>
          <w:pgNumType/>
          <w:docGrid w:linePitch="360"/>
        </w:sectPr>
      </w:pPr>
    </w:p>
    <w:p>
      <w:pPr>
        <w:spacing w:after="120" w:before="0"/>
        <w:jc w:val="left"/>
      </w:pPr>
      <w:r>
        <w:rPr>
          <w:rFonts w:ascii="Arial" w:cs="Arial" w:eastAsia="Arial" w:hAnsi="Arial"/>
          <w:b/>
          <w:bCs/>
          <w:i w:val="false"/>
          <w:iCs w:val="false"/>
          <w:color w:val="1B2A4A"/>
          <w:sz w:val="22"/>
          <w:szCs w:val="22"/>
        </w:rPr>
        <w:t xml:space="preserve">Document Control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c>
          <w:tcPr>
            <w:tcW w:type="dxa" w:w="30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top"/>
          </w:tcPr>
          <w:p>
            <w:pPr>
              <w:spacing w:after="0" w:before="0"/>
              <w:jc w:val="left"/>
            </w:pPr>
            <w:r>
              <w:rPr>
                <w:rFonts w:ascii="Arial" w:cs="Arial" w:eastAsia="Arial" w:hAnsi="Arial"/>
                <w:b/>
                <w:bCs/>
                <w:i w:val="false"/>
                <w:iCs w:val="false"/>
                <w:color w:val="FFFFFF"/>
                <w:sz w:val="19"/>
                <w:szCs w:val="19"/>
              </w:rPr>
              <w:t xml:space="preserve">Field</w:t>
            </w:r>
          </w:p>
        </w:tc>
        <w:tc>
          <w:tcPr>
            <w:tcW w:type="dxa" w:w="6746"/>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top"/>
          </w:tcPr>
          <w:p>
            <w:pPr>
              <w:spacing w:after="0" w:before="0"/>
              <w:jc w:val="left"/>
            </w:pPr>
            <w:r>
              <w:rPr>
                <w:rFonts w:ascii="Arial" w:cs="Arial" w:eastAsia="Arial" w:hAnsi="Arial"/>
                <w:b/>
                <w:bCs/>
                <w:i w:val="false"/>
                <w:iCs w:val="false"/>
                <w:color w:val="FFFFFF"/>
                <w:sz w:val="19"/>
                <w:szCs w:val="19"/>
              </w:rPr>
              <w:t xml:space="preserve">Details</w:t>
            </w:r>
          </w:p>
        </w:tc>
      </w:tr>
      <w:tr>
        <w:tc>
          <w:tcPr>
            <w:tcW w:type="dxa" w:w="3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B2A4A"/>
                <w:sz w:val="19"/>
                <w:szCs w:val="19"/>
              </w:rPr>
              <w:t xml:space="preserve">Document Title</w:t>
            </w:r>
          </w:p>
        </w:tc>
        <w:tc>
          <w:tcPr>
            <w:tcW w:type="dxa" w:w="6746"/>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Engagement Letter &amp; Scope of Work — ECC-2:2024 Delta Assessment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B2A4A"/>
                <w:sz w:val="19"/>
                <w:szCs w:val="19"/>
              </w:rPr>
              <w:t xml:space="preserve">Document Ref</w:t>
            </w:r>
          </w:p>
        </w:tc>
        <w:tc>
          <w:tcPr>
            <w:tcW w:type="dxa" w:w="6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RCA-P3C-001</w:t>
            </w:r>
          </w:p>
        </w:tc>
      </w:tr>
      <w:tr>
        <w:tc>
          <w:tcPr>
            <w:tcW w:type="dxa" w:w="3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B2A4A"/>
                <w:sz w:val="19"/>
                <w:szCs w:val="19"/>
              </w:rPr>
              <w:t xml:space="preserve">Client</w:t>
            </w:r>
          </w:p>
        </w:tc>
        <w:tc>
          <w:tcPr>
            <w:tcW w:type="dxa" w:w="6746"/>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Al Ameen Insurance Company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B2A4A"/>
                <w:sz w:val="19"/>
                <w:szCs w:val="19"/>
              </w:rPr>
              <w:t xml:space="preserve">Project</w:t>
            </w:r>
          </w:p>
        </w:tc>
        <w:tc>
          <w:tcPr>
            <w:tcW w:type="dxa" w:w="6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NCA ECC-2:2024 Delta Assessment — Returning Engagement</w:t>
            </w:r>
          </w:p>
        </w:tc>
      </w:tr>
      <w:tr>
        <w:tc>
          <w:tcPr>
            <w:tcW w:type="dxa" w:w="3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B2A4A"/>
                <w:sz w:val="19"/>
                <w:szCs w:val="19"/>
              </w:rPr>
              <w:t xml:space="preserve">Prepared by</w:t>
            </w:r>
          </w:p>
        </w:tc>
        <w:tc>
          <w:tcPr>
            <w:tcW w:type="dxa" w:w="6746"/>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kay Shahbaaz</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B2A4A"/>
                <w:sz w:val="19"/>
                <w:szCs w:val="19"/>
              </w:rPr>
              <w:t xml:space="preserve">Reviewed by</w:t>
            </w:r>
          </w:p>
        </w:tc>
        <w:tc>
          <w:tcPr>
            <w:tcW w:type="dxa" w:w="6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Resolute Compliance Advisory LLP</w:t>
            </w:r>
          </w:p>
        </w:tc>
      </w:tr>
      <w:tr>
        <w:tc>
          <w:tcPr>
            <w:tcW w:type="dxa" w:w="3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B2A4A"/>
                <w:sz w:val="19"/>
                <w:szCs w:val="19"/>
              </w:rPr>
              <w:t xml:space="preserve">Date</w:t>
            </w:r>
          </w:p>
        </w:tc>
        <w:tc>
          <w:tcPr>
            <w:tcW w:type="dxa" w:w="6746"/>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03 February 2025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B2A4A"/>
                <w:sz w:val="19"/>
                <w:szCs w:val="19"/>
              </w:rPr>
              <w:t xml:space="preserve">Version</w:t>
            </w:r>
          </w:p>
        </w:tc>
        <w:tc>
          <w:tcPr>
            <w:tcW w:type="dxa" w:w="6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v1.0</w:t>
            </w:r>
          </w:p>
        </w:tc>
      </w:tr>
      <w:tr>
        <w:tc>
          <w:tcPr>
            <w:tcW w:type="dxa" w:w="3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B2A4A"/>
                <w:sz w:val="19"/>
                <w:szCs w:val="19"/>
              </w:rPr>
              <w:t xml:space="preserve">Classification</w:t>
            </w:r>
          </w:p>
        </w:tc>
        <w:tc>
          <w:tcPr>
            <w:tcW w:type="dxa" w:w="6746"/>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CONFIDENTIAL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B2A4A"/>
                <w:sz w:val="19"/>
                <w:szCs w:val="19"/>
              </w:rPr>
              <w:t xml:space="preserve">Status</w:t>
            </w:r>
          </w:p>
        </w:tc>
        <w:tc>
          <w:tcPr>
            <w:tcW w:type="dxa" w:w="6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Final</w:t>
            </w:r>
          </w:p>
        </w:tc>
      </w:tr>
    </w:tbl>
    <w:p>
      <w:pPr>
        <w:spacing w:after="200" w:before="0"/>
        <w:jc w:val="left"/>
      </w:pPr>
      <w:r>
        <w:t xml:space="preserve"> </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9146"/>
      </w:tblGrid>
      <w:tr>
        <w:tc>
          <w:tcPr>
            <w:tcW w:type="dxa" w:w="600"/>
            <w:tcBorders>
              <w:top w:val="none" w:color="FFFFFF" w:sz="0"/>
              <w:left w:val="none" w:color="FFFFFF" w:sz="0"/>
              <w:bottom w:val="none" w:color="FFFFFF" w:sz="0"/>
              <w:right w:val="none" w:color="FFFFFF" w:sz="0"/>
            </w:tcBorders>
            <w:shd w:fill="C8A951" w:val="clear"/>
            <w:tcMar>
              <w:top w:type="dxa" w:w="100"/>
              <w:left w:type="dxa" w:w="80"/>
              <w:bottom w:type="dxa" w:w="100"/>
              <w:right w:type="dxa" w:w="80"/>
            </w:tcMar>
            <w:vAlign w:val="center"/>
          </w:tcPr>
          <w:p>
            <w:pPr>
              <w:spacing w:after="0" w:before="0"/>
              <w:jc w:val="center"/>
            </w:pPr>
            <w:r>
              <w:rPr>
                <w:rFonts w:ascii="Arial" w:cs="Arial" w:eastAsia="Arial" w:hAnsi="Arial"/>
                <w:b/>
                <w:bCs/>
                <w:i w:val="false"/>
                <w:iCs w:val="false"/>
                <w:color w:val="FFFFFF"/>
                <w:sz w:val="22"/>
                <w:szCs w:val="22"/>
              </w:rPr>
              <w:t xml:space="preserve">1</w:t>
            </w:r>
          </w:p>
        </w:tc>
        <w:tc>
          <w:tcPr>
            <w:tcW w:type="dxa" w:w="9146"/>
            <w:tcBorders>
              <w:top w:val="none" w:color="FFFFFF" w:sz="0"/>
              <w:left w:val="none" w:color="FFFFFF" w:sz="0"/>
              <w:bottom w:val="none" w:color="FFFFFF" w:sz="0"/>
              <w:right w:val="none" w:color="FFFFFF" w:sz="0"/>
            </w:tcBorders>
            <w:shd w:fill="1B2A4A" w:val="clear"/>
            <w:tcMar>
              <w:top w:type="dxa" w:w="100"/>
              <w:left w:type="dxa" w:w="160"/>
              <w:bottom w:type="dxa" w:w="100"/>
              <w:right w:type="dxa" w:w="120"/>
            </w:tcMar>
            <w:vAlign w:val="top"/>
          </w:tcPr>
          <w:p>
            <w:pPr>
              <w:spacing w:after="0" w:before="0"/>
              <w:jc w:val="left"/>
            </w:pPr>
            <w:r>
              <w:rPr>
                <w:rFonts w:ascii="Arial" w:cs="Arial" w:eastAsia="Arial" w:hAnsi="Arial"/>
                <w:b/>
                <w:bCs/>
                <w:i w:val="false"/>
                <w:iCs w:val="false"/>
                <w:color w:val="FFFFFF"/>
                <w:sz w:val="22"/>
                <w:szCs w:val="22"/>
              </w:rPr>
              <w:t xml:space="preserve">Introduction</w:t>
            </w:r>
          </w:p>
        </w:tc>
      </w:tr>
    </w:tbl>
    <w:p>
      <w:pPr>
        <w:spacing w:after="160" w:before="0"/>
        <w:jc w:val="left"/>
      </w:pPr>
      <w:r>
        <w:t xml:space="preserve"> </w:t>
      </w:r>
    </w:p>
    <w:p>
      <w:pPr>
        <w:spacing w:after="120" w:before="0"/>
        <w:jc w:val="left"/>
      </w:pPr>
      <w:r>
        <w:rPr>
          <w:rFonts w:ascii="Arial" w:cs="Arial" w:eastAsia="Arial" w:hAnsi="Arial"/>
          <w:b w:val="false"/>
          <w:bCs w:val="false"/>
          <w:i w:val="false"/>
          <w:iCs w:val="false"/>
          <w:color w:val="1A1A1A"/>
          <w:sz w:val="19"/>
          <w:szCs w:val="19"/>
        </w:rPr>
        <w:t xml:space="preserve">This document constitutes the formal Engagement Letter and Scope of Work between Resolute Compliance Advisory LLP (hereinafter referred to as "the Firm") and Al Ameen Insurance Company (hereinafter referred to as "the Client") for the NCA ECC-2:2024 Delta Assessment engagement.</w:t>
      </w:r>
    </w:p>
    <w:p>
      <w:pPr>
        <w:spacing w:after="120" w:before="0"/>
        <w:jc w:val="left"/>
      </w:pPr>
      <w:r>
        <w:rPr>
          <w:rFonts w:ascii="Arial" w:cs="Arial" w:eastAsia="Arial" w:hAnsi="Arial"/>
          <w:b w:val="false"/>
          <w:bCs w:val="false"/>
          <w:i w:val="false"/>
          <w:iCs w:val="false"/>
          <w:color w:val="1A1A1A"/>
          <w:sz w:val="19"/>
          <w:szCs w:val="19"/>
        </w:rPr>
        <w:t xml:space="preserve">This engagement is a continuation of Project RCA-P3 (July 2024 – October 2024), in which Resolute Compliance Advisory LLP conducted a full NCA ECC-1:2018 compliance audit and SAMA CSF maturity assessment for Al Ameen Insurance Company. This delta assessment is designed to evaluate the Client's current cybersecurity posture against the updated NCA Essential Cybersecurity Controls version 2:2024 (ECC-2:2024), which supersedes ECC-1:2018 as the applicable regulatory baseline from October 2024.</w:t>
      </w:r>
    </w:p>
    <w:p>
      <w:pPr>
        <w:spacing w:after="120" w:before="0"/>
        <w:jc w:val="left"/>
      </w:pPr>
      <w:r>
        <w:t xml:space="preserve"> </w:t>
      </w:r>
    </w:p>
    <w:p>
      <w:pPr>
        <w:pBdr>
          <w:bottom w:val="single" w:color="C8A951" w:sz="6" w:space="4"/>
        </w:pBdr>
        <w:spacing w:after="80" w:before="0"/>
        <w:jc w:val="left"/>
      </w:pPr>
      <w:r>
        <w:rPr>
          <w:rFonts w:ascii="Arial" w:cs="Arial" w:eastAsia="Arial" w:hAnsi="Arial"/>
          <w:b/>
          <w:bCs/>
          <w:i w:val="false"/>
          <w:iCs w:val="false"/>
          <w:color w:val="1B2A4A"/>
          <w:sz w:val="20"/>
          <w:szCs w:val="20"/>
        </w:rPr>
        <w:t xml:space="preserve">1.1  Background and Context</w:t>
      </w:r>
    </w:p>
    <w:p>
      <w:pPr>
        <w:spacing w:after="120" w:before="0"/>
        <w:jc w:val="left"/>
      </w:pPr>
      <w:r>
        <w:rPr>
          <w:rFonts w:ascii="Arial" w:cs="Arial" w:eastAsia="Arial" w:hAnsi="Arial"/>
          <w:b w:val="false"/>
          <w:bCs w:val="false"/>
          <w:i w:val="false"/>
          <w:iCs w:val="false"/>
          <w:color w:val="1A1A1A"/>
          <w:sz w:val="19"/>
          <w:szCs w:val="19"/>
        </w:rPr>
        <w:t xml:space="preserve">Al Ameen Insurance Company is a regulated insurance provider headquartered in Riyadh, Kingdom of Saudi Arabia, with branches in Jeddah and Dammam. The Client operates under the supervision of the Saudi Central Bank (SAMA) and is subject to mandatory compliance with NCA cybersecurity regulations.</w:t>
      </w:r>
    </w:p>
    <w:p>
      <w:pPr>
        <w:spacing w:after="120" w:before="0"/>
        <w:jc w:val="left"/>
      </w:pPr>
      <w:r>
        <w:rPr>
          <w:rFonts w:ascii="Arial" w:cs="Arial" w:eastAsia="Arial" w:hAnsi="Arial"/>
          <w:b w:val="false"/>
          <w:bCs w:val="false"/>
          <w:i w:val="false"/>
          <w:iCs w:val="false"/>
          <w:color w:val="1A1A1A"/>
          <w:sz w:val="19"/>
          <w:szCs w:val="19"/>
        </w:rPr>
        <w:t xml:space="preserve">The original ECC-1:2018 audit (RCA-P3) identified an overall conformance rate of 29.0% (33 of 114 controls conformant) and a SAMA CSF maturity score of 1.6 out of 4.0. A Corrective Action Plan (CAP) comprising 30 actions across four phases was issued in October 2024, with Phase 1 actions targeting the period November–December 2024.</w:t>
      </w:r>
    </w:p>
    <w:p>
      <w:pPr>
        <w:spacing w:after="120" w:before="0"/>
        <w:jc w:val="left"/>
      </w:pPr>
      <w:r>
        <w:rPr>
          <w:rFonts w:ascii="Arial" w:cs="Arial" w:eastAsia="Arial" w:hAnsi="Arial"/>
          <w:b w:val="false"/>
          <w:bCs w:val="false"/>
          <w:i w:val="false"/>
          <w:iCs w:val="false"/>
          <w:color w:val="1A1A1A"/>
          <w:sz w:val="19"/>
          <w:szCs w:val="19"/>
        </w:rPr>
        <w:t xml:space="preserve">By February 2025, Phase 1 of the CAP is substantially complete. The Client has appointed an IT Security Manager, revoked shared Oracle Insurance production system credentials, enabled multi-factor authentication on privileged Azure AD accounts, extended log retention to 12 months in compliance with SAMA requirements, delivered an initial all-staff security awareness session, and completed an inventory of critical systems. A top-level cybersecurity policy framework has been drafted and ratified by the Board.</w:t>
      </w:r>
    </w:p>
    <w:p>
      <w:pPr>
        <w:spacing w:after="120" w:before="0"/>
        <w:jc w:val="left"/>
      </w:pPr>
      <w:r>
        <w:rPr>
          <w:rFonts w:ascii="Arial" w:cs="Arial" w:eastAsia="Arial" w:hAnsi="Arial"/>
          <w:b w:val="false"/>
          <w:bCs w:val="false"/>
          <w:i w:val="false"/>
          <w:iCs w:val="false"/>
          <w:color w:val="1A1A1A"/>
          <w:sz w:val="19"/>
          <w:szCs w:val="19"/>
        </w:rPr>
        <w:t xml:space="preserve">NCA ECC-2:2024, released in October 2024, restructures the control framework from 114 controls across 5 domains to 108 controls, incorporating new requirements relating to cryptographic agility, quantum-readiness, updated cloud security baselines, and stricter supply chain and localised vendor governance requirements. A delta assessment is required to evaluate the Client's posture against these updated requirements and to identify new gaps introduced by the revised framework.</w:t>
      </w:r>
    </w:p>
    <w:p>
      <w:pPr>
        <w:spacing w:after="120" w:before="0"/>
        <w:jc w:val="left"/>
      </w:pPr>
      <w:r>
        <w:t xml:space="preserve"> </w:t>
      </w:r>
    </w:p>
    <w:p>
      <w:pPr>
        <w:pBdr>
          <w:bottom w:val="single" w:color="C8A951" w:sz="6" w:space="4"/>
        </w:pBdr>
        <w:spacing w:after="80" w:before="0"/>
        <w:jc w:val="left"/>
      </w:pPr>
      <w:r>
        <w:rPr>
          <w:rFonts w:ascii="Arial" w:cs="Arial" w:eastAsia="Arial" w:hAnsi="Arial"/>
          <w:b/>
          <w:bCs/>
          <w:i w:val="false"/>
          <w:iCs w:val="false"/>
          <w:color w:val="1B2A4A"/>
          <w:sz w:val="20"/>
          <w:szCs w:val="20"/>
        </w:rPr>
        <w:t xml:space="preserve">1.2  Engagement Objectives</w:t>
      </w:r>
    </w:p>
    <w:p>
      <w:pPr>
        <w:spacing w:after="80" w:before="0"/>
        <w:jc w:val="left"/>
      </w:pPr>
      <w:r>
        <w:rPr>
          <w:rFonts w:ascii="Arial" w:cs="Arial" w:eastAsia="Arial" w:hAnsi="Arial"/>
          <w:b w:val="false"/>
          <w:bCs w:val="false"/>
          <w:i w:val="false"/>
          <w:iCs w:val="false"/>
          <w:color w:val="1A1A1A"/>
          <w:sz w:val="19"/>
          <w:szCs w:val="19"/>
        </w:rPr>
        <w:t xml:space="preserve">This engagement has four primary objectives: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9146"/>
      </w:tblGrid>
      <w:tr>
        <w:tc>
          <w:tcPr>
            <w:tcW w:type="dxa" w:w="600"/>
            <w:tcBorders>
              <w:top w:val="single" w:color="CCCCCC" w:sz="1"/>
              <w:left w:val="single" w:color="CCCCCC" w:sz="1"/>
              <w:bottom w:val="single" w:color="CCCCCC" w:sz="1"/>
              <w:right w:val="single" w:color="CCCCCC" w:sz="1"/>
            </w:tcBorders>
            <w:shd w:fill="C8A951" w:val="clear"/>
            <w:tcMar>
              <w:top w:type="dxa" w:w="100"/>
              <w:left w:type="dxa" w:w="80"/>
              <w:bottom w:type="dxa" w:w="100"/>
              <w:right w:type="dxa" w:w="80"/>
            </w:tcMar>
            <w:vAlign w:val="center"/>
          </w:tcPr>
          <w:p>
            <w:pPr>
              <w:spacing w:after="0" w:before="0"/>
              <w:jc w:val="center"/>
            </w:pPr>
            <w:r>
              <w:rPr>
                <w:rFonts w:ascii="Arial" w:cs="Arial" w:eastAsia="Arial" w:hAnsi="Arial"/>
                <w:b/>
                <w:bCs/>
                <w:i w:val="false"/>
                <w:iCs w:val="false"/>
                <w:color w:val="FFFFFF"/>
                <w:sz w:val="19"/>
                <w:szCs w:val="19"/>
              </w:rPr>
              <w:t xml:space="preserve">01</w:t>
            </w:r>
          </w:p>
        </w:tc>
        <w:tc>
          <w:tcPr>
            <w:tcW w:type="dxa" w:w="9146"/>
            <w:tcBorders>
              <w:top w:val="single" w:color="CCCCCC" w:sz="1"/>
              <w:left w:val="single" w:color="CCCCCC" w:sz="1"/>
              <w:bottom w:val="single" w:color="CCCCCC" w:sz="1"/>
              <w:right w:val="single" w:color="CCCCCC" w:sz="1"/>
            </w:tcBorders>
            <w:shd w:fill="EEF1F7" w:val="clear"/>
            <w:tcMar>
              <w:top w:type="dxa" w:w="100"/>
              <w:left w:type="dxa" w:w="140"/>
              <w:bottom w:type="dxa" w:w="10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Assess the Client's remediation progress against the 30 corrective actions issued in the Project 3 CAP (RCA-P3-005), providing documented evidence of control improvements.</w:t>
            </w:r>
          </w:p>
        </w:tc>
      </w:tr>
      <w:tr>
        <w:tc>
          <w:tcPr>
            <w:tcW w:type="dxa" w:w="600"/>
            <w:tcBorders>
              <w:top w:val="single" w:color="CCCCCC" w:sz="1"/>
              <w:left w:val="single" w:color="CCCCCC" w:sz="1"/>
              <w:bottom w:val="single" w:color="CCCCCC" w:sz="1"/>
              <w:right w:val="single" w:color="CCCCCC" w:sz="1"/>
            </w:tcBorders>
            <w:shd w:fill="C8A951" w:val="clear"/>
            <w:tcMar>
              <w:top w:type="dxa" w:w="100"/>
              <w:left w:type="dxa" w:w="80"/>
              <w:bottom w:type="dxa" w:w="100"/>
              <w:right w:type="dxa" w:w="80"/>
            </w:tcMar>
            <w:vAlign w:val="center"/>
          </w:tcPr>
          <w:p>
            <w:pPr>
              <w:spacing w:after="0" w:before="0"/>
              <w:jc w:val="center"/>
            </w:pPr>
            <w:r>
              <w:rPr>
                <w:rFonts w:ascii="Arial" w:cs="Arial" w:eastAsia="Arial" w:hAnsi="Arial"/>
                <w:b/>
                <w:bCs/>
                <w:i w:val="false"/>
                <w:iCs w:val="false"/>
                <w:color w:val="FFFFFF"/>
                <w:sz w:val="19"/>
                <w:szCs w:val="19"/>
              </w:rPr>
              <w:t xml:space="preserve">02</w:t>
            </w:r>
          </w:p>
        </w:tc>
        <w:tc>
          <w:tcPr>
            <w:tcW w:type="dxa" w:w="914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Conduct a full delta assessment against all 108 NCA ECC-2:2024 controls, identifying new gaps introduced by the updated framework that were not present in ECC-1:2018.</w:t>
            </w:r>
          </w:p>
        </w:tc>
      </w:tr>
      <w:tr>
        <w:tc>
          <w:tcPr>
            <w:tcW w:type="dxa" w:w="600"/>
            <w:tcBorders>
              <w:top w:val="single" w:color="CCCCCC" w:sz="1"/>
              <w:left w:val="single" w:color="CCCCCC" w:sz="1"/>
              <w:bottom w:val="single" w:color="CCCCCC" w:sz="1"/>
              <w:right w:val="single" w:color="CCCCCC" w:sz="1"/>
            </w:tcBorders>
            <w:shd w:fill="C8A951" w:val="clear"/>
            <w:tcMar>
              <w:top w:type="dxa" w:w="100"/>
              <w:left w:type="dxa" w:w="80"/>
              <w:bottom w:type="dxa" w:w="100"/>
              <w:right w:type="dxa" w:w="80"/>
            </w:tcMar>
            <w:vAlign w:val="center"/>
          </w:tcPr>
          <w:p>
            <w:pPr>
              <w:spacing w:after="0" w:before="0"/>
              <w:jc w:val="center"/>
            </w:pPr>
            <w:r>
              <w:rPr>
                <w:rFonts w:ascii="Arial" w:cs="Arial" w:eastAsia="Arial" w:hAnsi="Arial"/>
                <w:b/>
                <w:bCs/>
                <w:i w:val="false"/>
                <w:iCs w:val="false"/>
                <w:color w:val="FFFFFF"/>
                <w:sz w:val="19"/>
                <w:szCs w:val="19"/>
              </w:rPr>
              <w:t xml:space="preserve">03</w:t>
            </w:r>
          </w:p>
        </w:tc>
        <w:tc>
          <w:tcPr>
            <w:tcW w:type="dxa" w:w="9146"/>
            <w:tcBorders>
              <w:top w:val="single" w:color="CCCCCC" w:sz="1"/>
              <w:left w:val="single" w:color="CCCCCC" w:sz="1"/>
              <w:bottom w:val="single" w:color="CCCCCC" w:sz="1"/>
              <w:right w:val="single" w:color="CCCCCC" w:sz="1"/>
            </w:tcBorders>
            <w:shd w:fill="EEF1F7" w:val="clear"/>
            <w:tcMar>
              <w:top w:type="dxa" w:w="100"/>
              <w:left w:type="dxa" w:w="140"/>
              <w:bottom w:type="dxa" w:w="10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Produce an updated risk register reflecting the current threat and control landscape, including revised risk scores where remediation has been demonstrated.</w:t>
            </w:r>
          </w:p>
        </w:tc>
      </w:tr>
      <w:tr>
        <w:tc>
          <w:tcPr>
            <w:tcW w:type="dxa" w:w="600"/>
            <w:tcBorders>
              <w:top w:val="single" w:color="CCCCCC" w:sz="1"/>
              <w:left w:val="single" w:color="CCCCCC" w:sz="1"/>
              <w:bottom w:val="single" w:color="CCCCCC" w:sz="1"/>
              <w:right w:val="single" w:color="CCCCCC" w:sz="1"/>
            </w:tcBorders>
            <w:shd w:fill="C8A951" w:val="clear"/>
            <w:tcMar>
              <w:top w:type="dxa" w:w="100"/>
              <w:left w:type="dxa" w:w="80"/>
              <w:bottom w:type="dxa" w:w="100"/>
              <w:right w:type="dxa" w:w="80"/>
            </w:tcMar>
            <w:vAlign w:val="center"/>
          </w:tcPr>
          <w:p>
            <w:pPr>
              <w:spacing w:after="0" w:before="0"/>
              <w:jc w:val="center"/>
            </w:pPr>
            <w:r>
              <w:rPr>
                <w:rFonts w:ascii="Arial" w:cs="Arial" w:eastAsia="Arial" w:hAnsi="Arial"/>
                <w:b/>
                <w:bCs/>
                <w:i w:val="false"/>
                <w:iCs w:val="false"/>
                <w:color w:val="FFFFFF"/>
                <w:sz w:val="19"/>
                <w:szCs w:val="19"/>
              </w:rPr>
              <w:t xml:space="preserve">04</w:t>
            </w:r>
          </w:p>
        </w:tc>
        <w:tc>
          <w:tcPr>
            <w:tcW w:type="dxa" w:w="914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Deliver an Executive Summary suitable for presentation to Al Ameen's Board and SAMA, demonstrating measurable progress since the October 2024 audit.</w:t>
            </w:r>
          </w:p>
        </w:tc>
      </w:tr>
    </w:tbl>
    <w:p>
      <w:pPr>
        <w:spacing w:after="200" w:before="0"/>
        <w:jc w:val="left"/>
      </w:pPr>
      <w:r>
        <w:t xml:space="preserve"> </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9146"/>
      </w:tblGrid>
      <w:tr>
        <w:tc>
          <w:tcPr>
            <w:tcW w:type="dxa" w:w="600"/>
            <w:tcBorders>
              <w:top w:val="none" w:color="FFFFFF" w:sz="0"/>
              <w:left w:val="none" w:color="FFFFFF" w:sz="0"/>
              <w:bottom w:val="none" w:color="FFFFFF" w:sz="0"/>
              <w:right w:val="none" w:color="FFFFFF" w:sz="0"/>
            </w:tcBorders>
            <w:shd w:fill="C8A951" w:val="clear"/>
            <w:tcMar>
              <w:top w:type="dxa" w:w="100"/>
              <w:left w:type="dxa" w:w="80"/>
              <w:bottom w:type="dxa" w:w="100"/>
              <w:right w:type="dxa" w:w="80"/>
            </w:tcMar>
            <w:vAlign w:val="center"/>
          </w:tcPr>
          <w:p>
            <w:pPr>
              <w:spacing w:after="0" w:before="0"/>
              <w:jc w:val="center"/>
            </w:pPr>
            <w:r>
              <w:rPr>
                <w:rFonts w:ascii="Arial" w:cs="Arial" w:eastAsia="Arial" w:hAnsi="Arial"/>
                <w:b/>
                <w:bCs/>
                <w:i w:val="false"/>
                <w:iCs w:val="false"/>
                <w:color w:val="FFFFFF"/>
                <w:sz w:val="22"/>
                <w:szCs w:val="22"/>
              </w:rPr>
              <w:t xml:space="preserve">2</w:t>
            </w:r>
          </w:p>
        </w:tc>
        <w:tc>
          <w:tcPr>
            <w:tcW w:type="dxa" w:w="9146"/>
            <w:tcBorders>
              <w:top w:val="none" w:color="FFFFFF" w:sz="0"/>
              <w:left w:val="none" w:color="FFFFFF" w:sz="0"/>
              <w:bottom w:val="none" w:color="FFFFFF" w:sz="0"/>
              <w:right w:val="none" w:color="FFFFFF" w:sz="0"/>
            </w:tcBorders>
            <w:shd w:fill="1B2A4A" w:val="clear"/>
            <w:tcMar>
              <w:top w:type="dxa" w:w="100"/>
              <w:left w:type="dxa" w:w="160"/>
              <w:bottom w:type="dxa" w:w="100"/>
              <w:right w:type="dxa" w:w="120"/>
            </w:tcMar>
            <w:vAlign w:val="top"/>
          </w:tcPr>
          <w:p>
            <w:pPr>
              <w:spacing w:after="0" w:before="0"/>
              <w:jc w:val="left"/>
            </w:pPr>
            <w:r>
              <w:rPr>
                <w:rFonts w:ascii="Arial" w:cs="Arial" w:eastAsia="Arial" w:hAnsi="Arial"/>
                <w:b/>
                <w:bCs/>
                <w:i w:val="false"/>
                <w:iCs w:val="false"/>
                <w:color w:val="FFFFFF"/>
                <w:sz w:val="22"/>
                <w:szCs w:val="22"/>
              </w:rPr>
              <w:t xml:space="preserve">Scope of Work</w:t>
            </w:r>
          </w:p>
        </w:tc>
      </w:tr>
    </w:tbl>
    <w:p>
      <w:pPr>
        <w:spacing w:after="160" w:before="0"/>
        <w:jc w:val="left"/>
      </w:pPr>
      <w:r>
        <w:t xml:space="preserve"> </w:t>
      </w:r>
    </w:p>
    <w:p>
      <w:pPr>
        <w:spacing w:after="120" w:before="0"/>
        <w:jc w:val="left"/>
      </w:pPr>
      <w:r>
        <w:rPr>
          <w:rFonts w:ascii="Arial" w:cs="Arial" w:eastAsia="Arial" w:hAnsi="Arial"/>
          <w:b w:val="false"/>
          <w:bCs w:val="false"/>
          <w:i w:val="false"/>
          <w:iCs w:val="false"/>
          <w:color w:val="1A1A1A"/>
          <w:sz w:val="19"/>
          <w:szCs w:val="19"/>
        </w:rPr>
        <w:t xml:space="preserve">The scope of this delta assessment covers the following:</w:t>
      </w:r>
    </w:p>
    <w:p>
      <w:pPr>
        <w:spacing w:after="120" w:before="0"/>
        <w:jc w:val="left"/>
      </w:pPr>
      <w:r>
        <w:t xml:space="preserve"> </w:t>
      </w:r>
    </w:p>
    <w:p>
      <w:pPr>
        <w:pBdr>
          <w:bottom w:val="single" w:color="C8A951" w:sz="6" w:space="4"/>
        </w:pBdr>
        <w:spacing w:after="80" w:before="0"/>
        <w:jc w:val="left"/>
      </w:pPr>
      <w:r>
        <w:rPr>
          <w:rFonts w:ascii="Arial" w:cs="Arial" w:eastAsia="Arial" w:hAnsi="Arial"/>
          <w:b/>
          <w:bCs/>
          <w:i w:val="false"/>
          <w:iCs w:val="false"/>
          <w:color w:val="1B2A4A"/>
          <w:sz w:val="20"/>
          <w:szCs w:val="20"/>
        </w:rPr>
        <w:t xml:space="preserve">2.1  ECC-2:2024 Delta Control Assessment</w:t>
      </w:r>
    </w:p>
    <w:p>
      <w:pPr>
        <w:spacing w:after="80" w:before="0"/>
        <w:jc w:val="left"/>
      </w:pPr>
      <w:r>
        <w:rPr>
          <w:rFonts w:ascii="Arial" w:cs="Arial" w:eastAsia="Arial" w:hAnsi="Arial"/>
          <w:b w:val="false"/>
          <w:bCs w:val="false"/>
          <w:i w:val="false"/>
          <w:iCs w:val="false"/>
          <w:color w:val="1A1A1A"/>
          <w:sz w:val="19"/>
          <w:szCs w:val="19"/>
        </w:rPr>
        <w:t xml:space="preserve">Assessment of the Client's cybersecurity controls against all 108 controls in NCA ECC-2:2024, structured as a delta assessment. The assessment will:</w:t>
      </w:r>
    </w:p>
    <w:p>
      <w:pPr>
        <w:spacing w:after="60" w:before="0"/>
        <w:ind w:left="360"/>
        <w:jc w:val="left"/>
      </w:pPr>
      <w:r>
        <w:rPr>
          <w:rFonts w:ascii="Arial" w:cs="Arial" w:eastAsia="Arial" w:hAnsi="Arial"/>
          <w:b w:val="false"/>
          <w:bCs w:val="false"/>
          <w:i w:val="false"/>
          <w:iCs w:val="false"/>
          <w:color w:val="1A1A1A"/>
          <w:sz w:val="19"/>
          <w:szCs w:val="19"/>
        </w:rPr>
        <w:t xml:space="preserve">(a)  Evaluate controls that existed under ECC-1:2018 for improvement or regression relative to the October 2024 baseline.</w:t>
      </w:r>
    </w:p>
    <w:p>
      <w:pPr>
        <w:spacing w:after="60" w:before="0"/>
        <w:ind w:left="360"/>
        <w:jc w:val="left"/>
      </w:pPr>
      <w:r>
        <w:rPr>
          <w:rFonts w:ascii="Arial" w:cs="Arial" w:eastAsia="Arial" w:hAnsi="Arial"/>
          <w:b w:val="false"/>
          <w:bCs w:val="false"/>
          <w:i w:val="false"/>
          <w:iCs w:val="false"/>
          <w:color w:val="1A1A1A"/>
          <w:sz w:val="19"/>
          <w:szCs w:val="19"/>
        </w:rPr>
        <w:t xml:space="preserve">(b)  Evaluate new or restructured controls introduced in ECC-2:2024 that have no direct ECC-1:2018 equivalent.</w:t>
      </w:r>
    </w:p>
    <w:p>
      <w:pPr>
        <w:spacing w:after="120" w:before="0"/>
        <w:ind w:left="360"/>
        <w:jc w:val="left"/>
      </w:pPr>
      <w:r>
        <w:rPr>
          <w:rFonts w:ascii="Arial" w:cs="Arial" w:eastAsia="Arial" w:hAnsi="Arial"/>
          <w:b w:val="false"/>
          <w:bCs w:val="false"/>
          <w:i w:val="false"/>
          <w:iCs w:val="false"/>
          <w:color w:val="1A1A1A"/>
          <w:sz w:val="19"/>
          <w:szCs w:val="19"/>
        </w:rPr>
        <w:t xml:space="preserve">(c)  Document conformance status for each control as Conformant, Partial, or Non-Conformant with supporting evidence references.</w:t>
      </w:r>
    </w:p>
    <w:p>
      <w:pPr>
        <w:spacing w:after="120" w:before="0"/>
        <w:jc w:val="left"/>
      </w:pPr>
      <w:r>
        <w:t xml:space="preserve"> </w:t>
      </w:r>
    </w:p>
    <w:p>
      <w:pPr>
        <w:pBdr>
          <w:bottom w:val="single" w:color="C8A951" w:sz="6" w:space="4"/>
        </w:pBdr>
        <w:spacing w:after="80" w:before="0"/>
        <w:jc w:val="left"/>
      </w:pPr>
      <w:r>
        <w:rPr>
          <w:rFonts w:ascii="Arial" w:cs="Arial" w:eastAsia="Arial" w:hAnsi="Arial"/>
          <w:b/>
          <w:bCs/>
          <w:i w:val="false"/>
          <w:iCs w:val="false"/>
          <w:color w:val="1B2A4A"/>
          <w:sz w:val="20"/>
          <w:szCs w:val="20"/>
        </w:rPr>
        <w:t xml:space="preserve">2.2  CAP Remediation Verification</w:t>
      </w:r>
    </w:p>
    <w:p>
      <w:pPr>
        <w:spacing w:after="120" w:before="0"/>
        <w:jc w:val="left"/>
      </w:pPr>
      <w:r>
        <w:rPr>
          <w:rFonts w:ascii="Arial" w:cs="Arial" w:eastAsia="Arial" w:hAnsi="Arial"/>
          <w:b w:val="false"/>
          <w:bCs w:val="false"/>
          <w:i w:val="false"/>
          <w:iCs w:val="false"/>
          <w:color w:val="1A1A1A"/>
          <w:sz w:val="19"/>
          <w:szCs w:val="19"/>
        </w:rPr>
        <w:t xml:space="preserve">Review and verification of evidence submitted by the Client against each of the 30 corrective actions in the Project 3 CAP. Each action will be assessed as Complete, In Progress, or Not Started, with supporting evidence references documented in the fieldwork checklist.</w:t>
      </w:r>
    </w:p>
    <w:p>
      <w:pPr>
        <w:spacing w:after="120" w:before="0"/>
        <w:jc w:val="left"/>
      </w:pPr>
      <w:r>
        <w:t xml:space="preserve"> </w:t>
      </w:r>
    </w:p>
    <w:p>
      <w:pPr>
        <w:pBdr>
          <w:bottom w:val="single" w:color="C8A951" w:sz="6" w:space="4"/>
        </w:pBdr>
        <w:spacing w:after="80" w:before="0"/>
        <w:jc w:val="left"/>
      </w:pPr>
      <w:r>
        <w:rPr>
          <w:rFonts w:ascii="Arial" w:cs="Arial" w:eastAsia="Arial" w:hAnsi="Arial"/>
          <w:b/>
          <w:bCs/>
          <w:i w:val="false"/>
          <w:iCs w:val="false"/>
          <w:color w:val="1B2A4A"/>
          <w:sz w:val="20"/>
          <w:szCs w:val="20"/>
        </w:rPr>
        <w:t xml:space="preserve">2.3  System and Process Walkthroughs</w:t>
      </w:r>
    </w:p>
    <w:p>
      <w:pPr>
        <w:spacing w:after="80" w:before="0"/>
        <w:jc w:val="left"/>
      </w:pPr>
      <w:r>
        <w:rPr>
          <w:rFonts w:ascii="Arial" w:cs="Arial" w:eastAsia="Arial" w:hAnsi="Arial"/>
          <w:b w:val="false"/>
          <w:bCs w:val="false"/>
          <w:i w:val="false"/>
          <w:iCs w:val="false"/>
          <w:color w:val="1A1A1A"/>
          <w:sz w:val="19"/>
          <w:szCs w:val="19"/>
        </w:rPr>
        <w:t xml:space="preserve">The following systems and processes will be included in fieldwork walkthroughs: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5046"/>
      </w:tblGrid>
      <w:tr>
        <w:tc>
          <w:tcPr>
            <w:tcW w:type="dxa" w:w="7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80"/>
            </w:tcMar>
            <w:vAlign w:val="top"/>
          </w:tcPr>
          <w:p>
            <w:pPr>
              <w:spacing w:after="0" w:before="0"/>
              <w:jc w:val="left"/>
            </w:pPr>
            <w:r>
              <w:rPr>
                <w:rFonts w:ascii="Arial" w:cs="Arial" w:eastAsia="Arial" w:hAnsi="Arial"/>
                <w:b/>
                <w:bCs/>
                <w:i w:val="false"/>
                <w:iCs w:val="false"/>
                <w:color w:val="FFFFFF"/>
                <w:sz w:val="18"/>
                <w:szCs w:val="18"/>
              </w:rPr>
              <w:t xml:space="preserve">#</w:t>
            </w:r>
          </w:p>
        </w:tc>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80"/>
            </w:tcMar>
            <w:vAlign w:val="top"/>
          </w:tcPr>
          <w:p>
            <w:pPr>
              <w:spacing w:after="0" w:before="0"/>
              <w:jc w:val="left"/>
            </w:pPr>
            <w:r>
              <w:rPr>
                <w:rFonts w:ascii="Arial" w:cs="Arial" w:eastAsia="Arial" w:hAnsi="Arial"/>
                <w:b/>
                <w:bCs/>
                <w:i w:val="false"/>
                <w:iCs w:val="false"/>
                <w:color w:val="FFFFFF"/>
                <w:sz w:val="18"/>
                <w:szCs w:val="18"/>
              </w:rPr>
              <w:t xml:space="preserve">Item</w:t>
            </w:r>
          </w:p>
        </w:tc>
        <w:tc>
          <w:tcPr>
            <w:tcW w:type="dxa" w:w="504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80"/>
            </w:tcMar>
            <w:vAlign w:val="top"/>
          </w:tcPr>
          <w:p>
            <w:pPr>
              <w:spacing w:after="0" w:before="0"/>
              <w:jc w:val="left"/>
            </w:pPr>
            <w:r>
              <w:rPr>
                <w:rFonts w:ascii="Arial" w:cs="Arial" w:eastAsia="Arial" w:hAnsi="Arial"/>
                <w:b/>
                <w:bCs/>
                <w:i w:val="false"/>
                <w:iCs w:val="false"/>
                <w:color w:val="FFFFFF"/>
                <w:sz w:val="18"/>
                <w:szCs w:val="18"/>
              </w:rPr>
              <w:t xml:space="preserve">Details</w:t>
            </w:r>
          </w:p>
        </w:tc>
      </w:tr>
      <w:tr>
        <w:tc>
          <w:tcPr>
            <w:tcW w:type="dxa" w:w="700"/>
            <w:tcBorders>
              <w:top w:val="single" w:color="CCCCCC" w:sz="1"/>
              <w:left w:val="single" w:color="CCCCCC" w:sz="1"/>
              <w:bottom w:val="single" w:color="CCCCCC" w:sz="1"/>
              <w:right w:val="single" w:color="CCCCCC" w:sz="1"/>
            </w:tcBorders>
            <w:shd w:fill="EEF1F7" w:val="clear"/>
            <w:tcMar>
              <w:top w:type="dxa" w:w="80"/>
              <w:left w:type="dxa" w:w="10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01</w:t>
            </w:r>
          </w:p>
        </w:tc>
        <w:tc>
          <w:tcPr>
            <w:tcW w:type="dxa" w:w="4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vAlign w:val="top"/>
          </w:tcPr>
          <w:p>
            <w:pPr>
              <w:spacing w:after="0" w:before="0"/>
              <w:jc w:val="left"/>
            </w:pPr>
            <w:r>
              <w:rPr>
                <w:rFonts w:ascii="Arial" w:cs="Arial" w:eastAsia="Arial" w:hAnsi="Arial"/>
                <w:b/>
                <w:bCs/>
                <w:i w:val="false"/>
                <w:iCs w:val="false"/>
                <w:color w:val="1A1A1A"/>
                <w:sz w:val="18"/>
                <w:szCs w:val="18"/>
              </w:rPr>
              <w:t xml:space="preserve">Oracle Insurance Policy Administration</w:t>
            </w:r>
          </w:p>
        </w:tc>
        <w:tc>
          <w:tcPr>
            <w:tcW w:type="dxa" w:w="5046"/>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On-premise, Riyadh DC — access controls, credential management, audit logging</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02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vAlign w:val="top"/>
          </w:tcPr>
          <w:p>
            <w:pPr>
              <w:spacing w:after="0" w:before="0"/>
              <w:jc w:val="left"/>
            </w:pPr>
            <w:r>
              <w:rPr>
                <w:rFonts w:ascii="Arial" w:cs="Arial" w:eastAsia="Arial" w:hAnsi="Arial"/>
                <w:b/>
                <w:bCs/>
                <w:i w:val="false"/>
                <w:iCs w:val="false"/>
                <w:color w:val="1A1A1A"/>
                <w:sz w:val="18"/>
                <w:szCs w:val="18"/>
              </w:rPr>
              <w:t xml:space="preserve">Guidewire ClaimCenter</w:t>
            </w:r>
          </w:p>
        </w:tc>
        <w:tc>
          <w:tcPr>
            <w:tcW w:type="dxa" w:w="50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On-premise, Riyadh DC — access controls, change management, logging</w:t>
            </w:r>
          </w:p>
        </w:tc>
      </w:tr>
      <w:tr>
        <w:tc>
          <w:tcPr>
            <w:tcW w:type="dxa" w:w="700"/>
            <w:tcBorders>
              <w:top w:val="single" w:color="CCCCCC" w:sz="1"/>
              <w:left w:val="single" w:color="CCCCCC" w:sz="1"/>
              <w:bottom w:val="single" w:color="CCCCCC" w:sz="1"/>
              <w:right w:val="single" w:color="CCCCCC" w:sz="1"/>
            </w:tcBorders>
            <w:shd w:fill="EEF1F7" w:val="clear"/>
            <w:tcMar>
              <w:top w:type="dxa" w:w="80"/>
              <w:left w:type="dxa" w:w="10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03</w:t>
            </w:r>
          </w:p>
        </w:tc>
        <w:tc>
          <w:tcPr>
            <w:tcW w:type="dxa" w:w="4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vAlign w:val="top"/>
          </w:tcPr>
          <w:p>
            <w:pPr>
              <w:spacing w:after="0" w:before="0"/>
              <w:jc w:val="left"/>
            </w:pPr>
            <w:r>
              <w:rPr>
                <w:rFonts w:ascii="Arial" w:cs="Arial" w:eastAsia="Arial" w:hAnsi="Arial"/>
                <w:b/>
                <w:bCs/>
                <w:i w:val="false"/>
                <w:iCs w:val="false"/>
                <w:color w:val="1A1A1A"/>
                <w:sz w:val="18"/>
                <w:szCs w:val="18"/>
              </w:rPr>
              <w:t xml:space="preserve">Azure Active Directory (Hybrid)</w:t>
            </w:r>
          </w:p>
        </w:tc>
        <w:tc>
          <w:tcPr>
            <w:tcW w:type="dxa" w:w="5046"/>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Privileged access, MFA configuration, conditional access policies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04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vAlign w:val="top"/>
          </w:tcPr>
          <w:p>
            <w:pPr>
              <w:spacing w:after="0" w:before="0"/>
              <w:jc w:val="left"/>
            </w:pPr>
            <w:r>
              <w:rPr>
                <w:rFonts w:ascii="Arial" w:cs="Arial" w:eastAsia="Arial" w:hAnsi="Arial"/>
                <w:b/>
                <w:bCs/>
                <w:i w:val="false"/>
                <w:iCs w:val="false"/>
                <w:color w:val="1A1A1A"/>
                <w:sz w:val="18"/>
                <w:szCs w:val="18"/>
              </w:rPr>
              <w:t xml:space="preserve">Azure KSA Region Workloads</w:t>
            </w:r>
          </w:p>
        </w:tc>
        <w:tc>
          <w:tcPr>
            <w:tcW w:type="dxa" w:w="50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Cloud security baseline, encryption, monitoring configuration</w:t>
            </w:r>
          </w:p>
        </w:tc>
      </w:tr>
      <w:tr>
        <w:tc>
          <w:tcPr>
            <w:tcW w:type="dxa" w:w="700"/>
            <w:tcBorders>
              <w:top w:val="single" w:color="CCCCCC" w:sz="1"/>
              <w:left w:val="single" w:color="CCCCCC" w:sz="1"/>
              <w:bottom w:val="single" w:color="CCCCCC" w:sz="1"/>
              <w:right w:val="single" w:color="CCCCCC" w:sz="1"/>
            </w:tcBorders>
            <w:shd w:fill="EEF1F7" w:val="clear"/>
            <w:tcMar>
              <w:top w:type="dxa" w:w="80"/>
              <w:left w:type="dxa" w:w="10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05</w:t>
            </w:r>
          </w:p>
        </w:tc>
        <w:tc>
          <w:tcPr>
            <w:tcW w:type="dxa" w:w="4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vAlign w:val="top"/>
          </w:tcPr>
          <w:p>
            <w:pPr>
              <w:spacing w:after="0" w:before="0"/>
              <w:jc w:val="left"/>
            </w:pPr>
            <w:r>
              <w:rPr>
                <w:rFonts w:ascii="Arial" w:cs="Arial" w:eastAsia="Arial" w:hAnsi="Arial"/>
                <w:b/>
                <w:bCs/>
                <w:i w:val="false"/>
                <w:iCs w:val="false"/>
                <w:color w:val="1A1A1A"/>
                <w:sz w:val="18"/>
                <w:szCs w:val="18"/>
              </w:rPr>
              <w:t xml:space="preserve">Microsoft 365</w:t>
            </w:r>
          </w:p>
        </w:tc>
        <w:tc>
          <w:tcPr>
            <w:tcW w:type="dxa" w:w="5046"/>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Data governance settings, email security, DLP policy status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06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vAlign w:val="top"/>
          </w:tcPr>
          <w:p>
            <w:pPr>
              <w:spacing w:after="0" w:before="0"/>
              <w:jc w:val="left"/>
            </w:pPr>
            <w:r>
              <w:rPr>
                <w:rFonts w:ascii="Arial" w:cs="Arial" w:eastAsia="Arial" w:hAnsi="Arial"/>
                <w:b/>
                <w:bCs/>
                <w:i w:val="false"/>
                <w:iCs w:val="false"/>
                <w:color w:val="1A1A1A"/>
                <w:sz w:val="18"/>
                <w:szCs w:val="18"/>
              </w:rPr>
              <w:t xml:space="preserve">Third-Party Interfaces</w:t>
            </w:r>
          </w:p>
        </w:tc>
        <w:tc>
          <w:tcPr>
            <w:tcW w:type="dxa" w:w="50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Najm (motor claims), Shafafiyah (SAMA reporting) — connection security, contractual security clauses</w:t>
            </w:r>
          </w:p>
        </w:tc>
      </w:tr>
      <w:tr>
        <w:tc>
          <w:tcPr>
            <w:tcW w:type="dxa" w:w="700"/>
            <w:tcBorders>
              <w:top w:val="single" w:color="CCCCCC" w:sz="1"/>
              <w:left w:val="single" w:color="CCCCCC" w:sz="1"/>
              <w:bottom w:val="single" w:color="CCCCCC" w:sz="1"/>
              <w:right w:val="single" w:color="CCCCCC" w:sz="1"/>
            </w:tcBorders>
            <w:shd w:fill="EEF1F7" w:val="clear"/>
            <w:tcMar>
              <w:top w:type="dxa" w:w="80"/>
              <w:left w:type="dxa" w:w="10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07</w:t>
            </w:r>
          </w:p>
        </w:tc>
        <w:tc>
          <w:tcPr>
            <w:tcW w:type="dxa" w:w="4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vAlign w:val="top"/>
          </w:tcPr>
          <w:p>
            <w:pPr>
              <w:spacing w:after="0" w:before="0"/>
              <w:jc w:val="left"/>
            </w:pPr>
            <w:r>
              <w:rPr>
                <w:rFonts w:ascii="Arial" w:cs="Arial" w:eastAsia="Arial" w:hAnsi="Arial"/>
                <w:b/>
                <w:bCs/>
                <w:i w:val="false"/>
                <w:iCs w:val="false"/>
                <w:color w:val="1A1A1A"/>
                <w:sz w:val="18"/>
                <w:szCs w:val="18"/>
              </w:rPr>
              <w:t xml:space="preserve">Cybersecurity Policy Framework</w:t>
            </w:r>
          </w:p>
        </w:tc>
        <w:tc>
          <w:tcPr>
            <w:tcW w:type="dxa" w:w="5046"/>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Ratified top-level policy and supporting procedure documentation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08</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vAlign w:val="top"/>
          </w:tcPr>
          <w:p>
            <w:pPr>
              <w:spacing w:after="0" w:before="0"/>
              <w:jc w:val="left"/>
            </w:pPr>
            <w:r>
              <w:rPr>
                <w:rFonts w:ascii="Arial" w:cs="Arial" w:eastAsia="Arial" w:hAnsi="Arial"/>
                <w:b/>
                <w:bCs/>
                <w:i w:val="false"/>
                <w:iCs w:val="false"/>
                <w:color w:val="1A1A1A"/>
                <w:sz w:val="18"/>
                <w:szCs w:val="18"/>
              </w:rPr>
              <w:t xml:space="preserve">Log Management (Azure Monitor / Sentinel)</w:t>
            </w:r>
          </w:p>
        </w:tc>
        <w:tc>
          <w:tcPr>
            <w:tcW w:type="dxa" w:w="50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12-month retention verification, alert configuration, SIEM coverage</w:t>
            </w:r>
          </w:p>
        </w:tc>
      </w:tr>
    </w:tbl>
    <w:p>
      <w:pPr>
        <w:spacing w:after="120" w:before="0"/>
        <w:jc w:val="left"/>
      </w:pPr>
      <w:r>
        <w:t xml:space="preserve"> </w:t>
      </w:r>
    </w:p>
    <w:p>
      <w:pPr>
        <w:pBdr>
          <w:bottom w:val="single" w:color="C8A951" w:sz="6" w:space="4"/>
        </w:pBdr>
        <w:spacing w:after="80" w:before="0"/>
        <w:jc w:val="left"/>
      </w:pPr>
      <w:r>
        <w:rPr>
          <w:rFonts w:ascii="Arial" w:cs="Arial" w:eastAsia="Arial" w:hAnsi="Arial"/>
          <w:b/>
          <w:bCs/>
          <w:i w:val="false"/>
          <w:iCs w:val="false"/>
          <w:color w:val="1B2A4A"/>
          <w:sz w:val="20"/>
          <w:szCs w:val="20"/>
        </w:rPr>
        <w:t xml:space="preserve">2.4  Stakeholder Interviews</w:t>
      </w:r>
    </w:p>
    <w:p>
      <w:pPr>
        <w:spacing w:after="80" w:before="0"/>
        <w:jc w:val="left"/>
      </w:pPr>
      <w:r>
        <w:rPr>
          <w:rFonts w:ascii="Arial" w:cs="Arial" w:eastAsia="Arial" w:hAnsi="Arial"/>
          <w:b w:val="false"/>
          <w:bCs w:val="false"/>
          <w:i w:val="false"/>
          <w:iCs w:val="false"/>
          <w:color w:val="1A1A1A"/>
          <w:sz w:val="19"/>
          <w:szCs w:val="19"/>
        </w:rPr>
        <w:t xml:space="preserve">Interviews will be conducted with the following stakeholders: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00"/>
        <w:gridCol w:w="5946"/>
      </w:tblGrid>
      <w:tr>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80"/>
            </w:tcMar>
            <w:vAlign w:val="top"/>
          </w:tcPr>
          <w:p>
            <w:pPr>
              <w:spacing w:after="0" w:before="0"/>
              <w:jc w:val="left"/>
            </w:pPr>
            <w:r>
              <w:rPr>
                <w:rFonts w:ascii="Arial" w:cs="Arial" w:eastAsia="Arial" w:hAnsi="Arial"/>
                <w:b/>
                <w:bCs/>
                <w:i w:val="false"/>
                <w:iCs w:val="false"/>
                <w:color w:val="FFFFFF"/>
                <w:sz w:val="18"/>
                <w:szCs w:val="18"/>
              </w:rPr>
              <w:t xml:space="preserve">Role</w:t>
            </w:r>
          </w:p>
        </w:tc>
        <w:tc>
          <w:tcPr>
            <w:tcW w:type="dxa" w:w="594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80"/>
            </w:tcMar>
            <w:vAlign w:val="top"/>
          </w:tcPr>
          <w:p>
            <w:pPr>
              <w:spacing w:after="0" w:before="0"/>
              <w:jc w:val="left"/>
            </w:pPr>
            <w:r>
              <w:rPr>
                <w:rFonts w:ascii="Arial" w:cs="Arial" w:eastAsia="Arial" w:hAnsi="Arial"/>
                <w:b/>
                <w:bCs/>
                <w:i w:val="false"/>
                <w:iCs w:val="false"/>
                <w:color w:val="FFFFFF"/>
                <w:sz w:val="18"/>
                <w:szCs w:val="18"/>
              </w:rPr>
              <w:t xml:space="preserve">Focus Areas</w:t>
            </w:r>
          </w:p>
        </w:tc>
      </w:tr>
      <w:tr>
        <w:tc>
          <w:tcPr>
            <w:tcW w:type="dxa" w:w="38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IT Security Manager (newly appointed)</w:t>
            </w:r>
          </w:p>
        </w:tc>
        <w:tc>
          <w:tcPr>
            <w:tcW w:type="dxa" w:w="5946"/>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Cybersecurity governance, policy ratification, remediation progress overview</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IT Operations Manager</w:t>
            </w:r>
          </w:p>
        </w:tc>
        <w:tc>
          <w:tcPr>
            <w:tcW w:type="dxa" w:w="5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System walkthroughs, vulnerability management, log management, change control</w:t>
            </w:r>
          </w:p>
        </w:tc>
      </w:tr>
      <w:tr>
        <w:tc>
          <w:tcPr>
            <w:tcW w:type="dxa" w:w="38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Oracle Insurance System Administrator</w:t>
            </w:r>
          </w:p>
        </w:tc>
        <w:tc>
          <w:tcPr>
            <w:tcW w:type="dxa" w:w="5946"/>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Credential management, access controls, audit logging on production system</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Azure / Cloud Administrator</w:t>
            </w:r>
          </w:p>
        </w:tc>
        <w:tc>
          <w:tcPr>
            <w:tcW w:type="dxa" w:w="5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Azure AD MFA, conditional access, cloud security configuration, Azure Sentinel</w:t>
            </w:r>
          </w:p>
        </w:tc>
      </w:tr>
      <w:tr>
        <w:tc>
          <w:tcPr>
            <w:tcW w:type="dxa" w:w="38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Procurement / Contracts Representative</w:t>
            </w:r>
          </w:p>
        </w:tc>
        <w:tc>
          <w:tcPr>
            <w:tcW w:type="dxa" w:w="5946"/>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Third-party contract review — Najm, Shafafiyah, Munich Re, Swiss Re security clauses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Internal Audit Representative (if applicable)</w:t>
            </w:r>
          </w:p>
        </w:tc>
        <w:tc>
          <w:tcPr>
            <w:tcW w:type="dxa" w:w="5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Governance oversight, audit findings follow-up</w:t>
            </w:r>
          </w:p>
        </w:tc>
      </w:tr>
    </w:tbl>
    <w:p>
      <w:pPr>
        <w:spacing w:after="200" w:before="0"/>
        <w:jc w:val="left"/>
      </w:pPr>
      <w:r>
        <w:t xml:space="preserve"> </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9146"/>
      </w:tblGrid>
      <w:tr>
        <w:tc>
          <w:tcPr>
            <w:tcW w:type="dxa" w:w="600"/>
            <w:tcBorders>
              <w:top w:val="none" w:color="FFFFFF" w:sz="0"/>
              <w:left w:val="none" w:color="FFFFFF" w:sz="0"/>
              <w:bottom w:val="none" w:color="FFFFFF" w:sz="0"/>
              <w:right w:val="none" w:color="FFFFFF" w:sz="0"/>
            </w:tcBorders>
            <w:shd w:fill="C8A951" w:val="clear"/>
            <w:tcMar>
              <w:top w:type="dxa" w:w="100"/>
              <w:left w:type="dxa" w:w="80"/>
              <w:bottom w:type="dxa" w:w="100"/>
              <w:right w:type="dxa" w:w="80"/>
            </w:tcMar>
            <w:vAlign w:val="center"/>
          </w:tcPr>
          <w:p>
            <w:pPr>
              <w:spacing w:after="0" w:before="0"/>
              <w:jc w:val="center"/>
            </w:pPr>
            <w:r>
              <w:rPr>
                <w:rFonts w:ascii="Arial" w:cs="Arial" w:eastAsia="Arial" w:hAnsi="Arial"/>
                <w:b/>
                <w:bCs/>
                <w:i w:val="false"/>
                <w:iCs w:val="false"/>
                <w:color w:val="FFFFFF"/>
                <w:sz w:val="22"/>
                <w:szCs w:val="22"/>
              </w:rPr>
              <w:t xml:space="preserve">3</w:t>
            </w:r>
          </w:p>
        </w:tc>
        <w:tc>
          <w:tcPr>
            <w:tcW w:type="dxa" w:w="9146"/>
            <w:tcBorders>
              <w:top w:val="none" w:color="FFFFFF" w:sz="0"/>
              <w:left w:val="none" w:color="FFFFFF" w:sz="0"/>
              <w:bottom w:val="none" w:color="FFFFFF" w:sz="0"/>
              <w:right w:val="none" w:color="FFFFFF" w:sz="0"/>
            </w:tcBorders>
            <w:shd w:fill="1B2A4A" w:val="clear"/>
            <w:tcMar>
              <w:top w:type="dxa" w:w="100"/>
              <w:left w:type="dxa" w:w="160"/>
              <w:bottom w:type="dxa" w:w="100"/>
              <w:right w:type="dxa" w:w="120"/>
            </w:tcMar>
            <w:vAlign w:val="top"/>
          </w:tcPr>
          <w:p>
            <w:pPr>
              <w:spacing w:after="0" w:before="0"/>
              <w:jc w:val="left"/>
            </w:pPr>
            <w:r>
              <w:rPr>
                <w:rFonts w:ascii="Arial" w:cs="Arial" w:eastAsia="Arial" w:hAnsi="Arial"/>
                <w:b/>
                <w:bCs/>
                <w:i w:val="false"/>
                <w:iCs w:val="false"/>
                <w:color w:val="FFFFFF"/>
                <w:sz w:val="22"/>
                <w:szCs w:val="22"/>
              </w:rPr>
              <w:t xml:space="preserve">Out of Scope</w:t>
            </w:r>
          </w:p>
        </w:tc>
      </w:tr>
    </w:tbl>
    <w:p>
      <w:pPr>
        <w:spacing w:after="160" w:before="0"/>
        <w:jc w:val="left"/>
      </w:pPr>
      <w:r>
        <w:t xml:space="preserve"> </w:t>
      </w:r>
    </w:p>
    <w:p>
      <w:pPr>
        <w:spacing w:after="80" w:before="0"/>
        <w:jc w:val="left"/>
      </w:pPr>
      <w:r>
        <w:rPr>
          <w:rFonts w:ascii="Arial" w:cs="Arial" w:eastAsia="Arial" w:hAnsi="Arial"/>
          <w:b w:val="false"/>
          <w:bCs w:val="false"/>
          <w:i w:val="false"/>
          <w:iCs w:val="false"/>
          <w:color w:val="1A1A1A"/>
          <w:sz w:val="19"/>
          <w:szCs w:val="19"/>
        </w:rPr>
        <w:t xml:space="preserve">The following items are explicitly excluded from this engagement:</w:t>
      </w:r>
    </w:p>
    <w:p>
      <w:pPr>
        <w:spacing w:after="80" w:before="0"/>
        <w:ind w:left="360"/>
        <w:jc w:val="left"/>
      </w:pPr>
      <w:r>
        <w:rPr>
          <w:rFonts w:ascii="Arial" w:cs="Arial" w:eastAsia="Arial" w:hAnsi="Arial"/>
          <w:b/>
          <w:bCs/>
          <w:i w:val="false"/>
          <w:iCs w:val="false"/>
          <w:color w:val="1B2A4A"/>
          <w:sz w:val="19"/>
          <w:szCs w:val="19"/>
        </w:rPr>
        <w:t xml:space="preserve">1.  </w:t>
      </w:r>
      <w:r>
        <w:rPr>
          <w:rFonts w:ascii="Arial" w:cs="Arial" w:eastAsia="Arial" w:hAnsi="Arial"/>
          <w:b w:val="false"/>
          <w:bCs w:val="false"/>
          <w:i w:val="false"/>
          <w:iCs w:val="false"/>
          <w:color w:val="1A1A1A"/>
          <w:sz w:val="19"/>
          <w:szCs w:val="19"/>
        </w:rPr>
        <w:t xml:space="preserve">Implementation of controls or remediation activities — these remain the sole responsibility of the Client</w:t>
      </w:r>
    </w:p>
    <w:p>
      <w:pPr>
        <w:spacing w:after="80" w:before="0"/>
        <w:ind w:left="360"/>
        <w:jc w:val="left"/>
      </w:pPr>
      <w:r>
        <w:rPr>
          <w:rFonts w:ascii="Arial" w:cs="Arial" w:eastAsia="Arial" w:hAnsi="Arial"/>
          <w:b/>
          <w:bCs/>
          <w:i w:val="false"/>
          <w:iCs w:val="false"/>
          <w:color w:val="1B2A4A"/>
          <w:sz w:val="19"/>
          <w:szCs w:val="19"/>
        </w:rPr>
        <w:t xml:space="preserve">2.  </w:t>
      </w:r>
      <w:r>
        <w:rPr>
          <w:rFonts w:ascii="Arial" w:cs="Arial" w:eastAsia="Arial" w:hAnsi="Arial"/>
          <w:b w:val="false"/>
          <w:bCs w:val="false"/>
          <w:i w:val="false"/>
          <w:iCs w:val="false"/>
          <w:color w:val="1A1A1A"/>
          <w:sz w:val="19"/>
          <w:szCs w:val="19"/>
        </w:rPr>
        <w:t xml:space="preserve">Penetration testing, technical vulnerability assessments, or red team exercises</w:t>
      </w:r>
    </w:p>
    <w:p>
      <w:pPr>
        <w:spacing w:after="80" w:before="0"/>
        <w:ind w:left="360"/>
        <w:jc w:val="left"/>
      </w:pPr>
      <w:r>
        <w:rPr>
          <w:rFonts w:ascii="Arial" w:cs="Arial" w:eastAsia="Arial" w:hAnsi="Arial"/>
          <w:b/>
          <w:bCs/>
          <w:i w:val="false"/>
          <w:iCs w:val="false"/>
          <w:color w:val="1B2A4A"/>
          <w:sz w:val="19"/>
          <w:szCs w:val="19"/>
        </w:rPr>
        <w:t xml:space="preserve">3.  </w:t>
      </w:r>
      <w:r>
        <w:rPr>
          <w:rFonts w:ascii="Arial" w:cs="Arial" w:eastAsia="Arial" w:hAnsi="Arial"/>
          <w:b w:val="false"/>
          <w:bCs w:val="false"/>
          <w:i w:val="false"/>
          <w:iCs w:val="false"/>
          <w:color w:val="1A1A1A"/>
          <w:sz w:val="19"/>
          <w:szCs w:val="19"/>
        </w:rPr>
        <w:t xml:space="preserve">Certification audit or formal regulatory submission — this engagement is an advisory assessment only</w:t>
      </w:r>
    </w:p>
    <w:p>
      <w:pPr>
        <w:spacing w:after="80" w:before="0"/>
        <w:ind w:left="360"/>
        <w:jc w:val="left"/>
      </w:pPr>
      <w:r>
        <w:rPr>
          <w:rFonts w:ascii="Arial" w:cs="Arial" w:eastAsia="Arial" w:hAnsi="Arial"/>
          <w:b/>
          <w:bCs/>
          <w:i w:val="false"/>
          <w:iCs w:val="false"/>
          <w:color w:val="1B2A4A"/>
          <w:sz w:val="19"/>
          <w:szCs w:val="19"/>
        </w:rPr>
        <w:t xml:space="preserve">4.  </w:t>
      </w:r>
      <w:r>
        <w:rPr>
          <w:rFonts w:ascii="Arial" w:cs="Arial" w:eastAsia="Arial" w:hAnsi="Arial"/>
          <w:b w:val="false"/>
          <w:bCs w:val="false"/>
          <w:i w:val="false"/>
          <w:iCs w:val="false"/>
          <w:color w:val="1A1A1A"/>
          <w:sz w:val="19"/>
          <w:szCs w:val="19"/>
        </w:rPr>
        <w:t xml:space="preserve">SAMA CSF maturity re-assessment — SAMA CSF maturity was assessed in Project 3 (RCA-P3); a full re-assessment is not within the scope of this delta engagement; references to SAMA CSF will be limited to contextual commentary where directly relevant to ECC-2:2024 findings</w:t>
      </w:r>
    </w:p>
    <w:p>
      <w:pPr>
        <w:spacing w:after="80" w:before="0"/>
        <w:ind w:left="360"/>
        <w:jc w:val="left"/>
      </w:pPr>
      <w:r>
        <w:rPr>
          <w:rFonts w:ascii="Arial" w:cs="Arial" w:eastAsia="Arial" w:hAnsi="Arial"/>
          <w:b/>
          <w:bCs/>
          <w:i w:val="false"/>
          <w:iCs w:val="false"/>
          <w:color w:val="1B2A4A"/>
          <w:sz w:val="19"/>
          <w:szCs w:val="19"/>
        </w:rPr>
        <w:t xml:space="preserve">5.  </w:t>
      </w:r>
      <w:r>
        <w:rPr>
          <w:rFonts w:ascii="Arial" w:cs="Arial" w:eastAsia="Arial" w:hAnsi="Arial"/>
          <w:b w:val="false"/>
          <w:bCs w:val="false"/>
          <w:i w:val="false"/>
          <w:iCs w:val="false"/>
          <w:color w:val="1A1A1A"/>
          <w:sz w:val="19"/>
          <w:szCs w:val="19"/>
        </w:rPr>
        <w:t xml:space="preserve">Reinsurance counterparty assessments (Munich Re, Swiss Re) — the assessment will review the Client's management of these relationships but will not conduct assessments of the counterparties themselves</w:t>
      </w:r>
    </w:p>
    <w:p>
      <w:pPr>
        <w:spacing w:after="80" w:before="0"/>
        <w:ind w:left="360"/>
        <w:jc w:val="left"/>
      </w:pPr>
      <w:r>
        <w:rPr>
          <w:rFonts w:ascii="Arial" w:cs="Arial" w:eastAsia="Arial" w:hAnsi="Arial"/>
          <w:b/>
          <w:bCs/>
          <w:i w:val="false"/>
          <w:iCs w:val="false"/>
          <w:color w:val="1B2A4A"/>
          <w:sz w:val="19"/>
          <w:szCs w:val="19"/>
        </w:rPr>
        <w:t xml:space="preserve">6.  </w:t>
      </w:r>
      <w:r>
        <w:rPr>
          <w:rFonts w:ascii="Arial" w:cs="Arial" w:eastAsia="Arial" w:hAnsi="Arial"/>
          <w:b w:val="false"/>
          <w:bCs w:val="false"/>
          <w:i w:val="false"/>
          <w:iCs w:val="false"/>
          <w:color w:val="1A1A1A"/>
          <w:sz w:val="19"/>
          <w:szCs w:val="19"/>
        </w:rPr>
        <w:t xml:space="preserve">Assessment of NCA ECC-1:2018 controls that are no longer present in ECC-2:2024 — the ECC-2:2024 framework is the sole assessment baseline for this engagement</w:t>
      </w:r>
    </w:p>
    <w:p>
      <w:pPr>
        <w:spacing w:after="200" w:before="0"/>
        <w:jc w:val="left"/>
      </w:pPr>
      <w:r>
        <w:t xml:space="preserve"> </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9146"/>
      </w:tblGrid>
      <w:tr>
        <w:tc>
          <w:tcPr>
            <w:tcW w:type="dxa" w:w="600"/>
            <w:tcBorders>
              <w:top w:val="none" w:color="FFFFFF" w:sz="0"/>
              <w:left w:val="none" w:color="FFFFFF" w:sz="0"/>
              <w:bottom w:val="none" w:color="FFFFFF" w:sz="0"/>
              <w:right w:val="none" w:color="FFFFFF" w:sz="0"/>
            </w:tcBorders>
            <w:shd w:fill="C8A951" w:val="clear"/>
            <w:tcMar>
              <w:top w:type="dxa" w:w="100"/>
              <w:left w:type="dxa" w:w="80"/>
              <w:bottom w:type="dxa" w:w="100"/>
              <w:right w:type="dxa" w:w="80"/>
            </w:tcMar>
            <w:vAlign w:val="center"/>
          </w:tcPr>
          <w:p>
            <w:pPr>
              <w:spacing w:after="0" w:before="0"/>
              <w:jc w:val="center"/>
            </w:pPr>
            <w:r>
              <w:rPr>
                <w:rFonts w:ascii="Arial" w:cs="Arial" w:eastAsia="Arial" w:hAnsi="Arial"/>
                <w:b/>
                <w:bCs/>
                <w:i w:val="false"/>
                <w:iCs w:val="false"/>
                <w:color w:val="FFFFFF"/>
                <w:sz w:val="22"/>
                <w:szCs w:val="22"/>
              </w:rPr>
              <w:t xml:space="preserve">4</w:t>
            </w:r>
          </w:p>
        </w:tc>
        <w:tc>
          <w:tcPr>
            <w:tcW w:type="dxa" w:w="9146"/>
            <w:tcBorders>
              <w:top w:val="none" w:color="FFFFFF" w:sz="0"/>
              <w:left w:val="none" w:color="FFFFFF" w:sz="0"/>
              <w:bottom w:val="none" w:color="FFFFFF" w:sz="0"/>
              <w:right w:val="none" w:color="FFFFFF" w:sz="0"/>
            </w:tcBorders>
            <w:shd w:fill="1B2A4A" w:val="clear"/>
            <w:tcMar>
              <w:top w:type="dxa" w:w="100"/>
              <w:left w:type="dxa" w:w="160"/>
              <w:bottom w:type="dxa" w:w="100"/>
              <w:right w:type="dxa" w:w="120"/>
            </w:tcMar>
            <w:vAlign w:val="top"/>
          </w:tcPr>
          <w:p>
            <w:pPr>
              <w:spacing w:after="0" w:before="0"/>
              <w:jc w:val="left"/>
            </w:pPr>
            <w:r>
              <w:rPr>
                <w:rFonts w:ascii="Arial" w:cs="Arial" w:eastAsia="Arial" w:hAnsi="Arial"/>
                <w:b/>
                <w:bCs/>
                <w:i w:val="false"/>
                <w:iCs w:val="false"/>
                <w:color w:val="FFFFFF"/>
                <w:sz w:val="22"/>
                <w:szCs w:val="22"/>
              </w:rPr>
              <w:t xml:space="preserve">Deliverables</w:t>
            </w:r>
          </w:p>
        </w:tc>
      </w:tr>
    </w:tbl>
    <w:p>
      <w:pPr>
        <w:spacing w:after="160" w:before="0"/>
        <w:jc w:val="left"/>
      </w:pPr>
      <w:r>
        <w:t xml:space="preserve"> </w:t>
      </w:r>
    </w:p>
    <w:p>
      <w:pPr>
        <w:spacing w:after="120" w:before="0"/>
        <w:jc w:val="left"/>
      </w:pPr>
      <w:r>
        <w:rPr>
          <w:rFonts w:ascii="Arial" w:cs="Arial" w:eastAsia="Arial" w:hAnsi="Arial"/>
          <w:b w:val="false"/>
          <w:bCs w:val="false"/>
          <w:i w:val="false"/>
          <w:iCs w:val="false"/>
          <w:color w:val="1A1A1A"/>
          <w:sz w:val="19"/>
          <w:szCs w:val="19"/>
        </w:rPr>
        <w:t xml:space="preserve">The following deliverables will be produced under this engagement: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1400"/>
        <w:gridCol w:w="1946"/>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80"/>
            </w:tcMar>
            <w:vAlign w:val="top"/>
          </w:tcPr>
          <w:p>
            <w:pPr>
              <w:spacing w:after="0" w:before="0"/>
              <w:jc w:val="left"/>
            </w:pPr>
            <w:r>
              <w:rPr>
                <w:rFonts w:ascii="Arial" w:cs="Arial" w:eastAsia="Arial" w:hAnsi="Arial"/>
                <w:b/>
                <w:bCs/>
                <w:i w:val="false"/>
                <w:iCs w:val="false"/>
                <w:color w:val="FFFFFF"/>
                <w:sz w:val="18"/>
                <w:szCs w:val="18"/>
              </w:rPr>
              <w:t xml:space="preserve">Ref</w:t>
            </w:r>
          </w:p>
        </w:tc>
        <w:tc>
          <w:tcPr>
            <w:tcW w:type="dxa" w:w="46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80"/>
            </w:tcMar>
            <w:vAlign w:val="top"/>
          </w:tcPr>
          <w:p>
            <w:pPr>
              <w:spacing w:after="0" w:before="0"/>
              <w:jc w:val="left"/>
            </w:pPr>
            <w:r>
              <w:rPr>
                <w:rFonts w:ascii="Arial" w:cs="Arial" w:eastAsia="Arial" w:hAnsi="Arial"/>
                <w:b/>
                <w:bCs/>
                <w:i w:val="false"/>
                <w:iCs w:val="false"/>
                <w:color w:val="FFFFFF"/>
                <w:sz w:val="18"/>
                <w:szCs w:val="18"/>
              </w:rPr>
              <w:t xml:space="preserve">Document</w:t>
            </w:r>
          </w:p>
        </w:tc>
        <w:tc>
          <w:tcPr>
            <w:tcW w:type="dxa" w:w="14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80"/>
            </w:tcMar>
            <w:vAlign w:val="top"/>
          </w:tcPr>
          <w:p>
            <w:pPr>
              <w:spacing w:after="0" w:before="0"/>
              <w:jc w:val="left"/>
            </w:pPr>
            <w:r>
              <w:rPr>
                <w:rFonts w:ascii="Arial" w:cs="Arial" w:eastAsia="Arial" w:hAnsi="Arial"/>
                <w:b/>
                <w:bCs/>
                <w:i w:val="false"/>
                <w:iCs w:val="false"/>
                <w:color w:val="FFFFFF"/>
                <w:sz w:val="18"/>
                <w:szCs w:val="18"/>
              </w:rPr>
              <w:t xml:space="preserve">Format</w:t>
            </w:r>
          </w:p>
        </w:tc>
        <w:tc>
          <w:tcPr>
            <w:tcW w:type="dxa" w:w="1946"/>
            <w:tcBorders>
              <w:top w:val="single" w:color="CCCCCC" w:sz="1"/>
              <w:left w:val="single" w:color="CCCCCC" w:sz="1"/>
              <w:bottom w:val="single" w:color="CCCCCC" w:sz="1"/>
              <w:right w:val="single" w:color="CCCCCC" w:sz="1"/>
            </w:tcBorders>
            <w:shd w:fill="1B2A4A" w:val="clear"/>
            <w:tcMar>
              <w:top w:type="dxa" w:w="80"/>
              <w:left w:type="dxa" w:w="100"/>
              <w:bottom w:type="dxa" w:w="80"/>
              <w:right w:type="dxa" w:w="80"/>
            </w:tcMar>
            <w:vAlign w:val="top"/>
          </w:tcPr>
          <w:p>
            <w:pPr>
              <w:spacing w:after="0" w:before="0"/>
              <w:jc w:val="left"/>
            </w:pPr>
            <w:r>
              <w:rPr>
                <w:rFonts w:ascii="Arial" w:cs="Arial" w:eastAsia="Arial" w:hAnsi="Arial"/>
                <w:b/>
                <w:bCs/>
                <w:i w:val="false"/>
                <w:iCs w:val="false"/>
                <w:color w:val="FFFFFF"/>
                <w:sz w:val="18"/>
                <w:szCs w:val="18"/>
              </w:rPr>
              <w:t xml:space="preserve">Due</w:t>
            </w:r>
          </w:p>
        </w:tc>
      </w:tr>
      <w:tr>
        <w:tc>
          <w:tcPr>
            <w:tcW w:type="dxa" w:w="1800"/>
            <w:tcBorders>
              <w:top w:val="single" w:color="CCCCCC" w:sz="1"/>
              <w:left w:val="single" w:color="CCCCCC" w:sz="1"/>
              <w:bottom w:val="single" w:color="CCCCCC" w:sz="1"/>
              <w:right w:val="single" w:color="CCCCCC" w:sz="1"/>
            </w:tcBorders>
            <w:shd w:fill="EEF1F7" w:val="clear"/>
            <w:tcMar>
              <w:top w:type="dxa" w:w="80"/>
              <w:left w:type="dxa" w:w="10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RCA-P3C-001</w:t>
            </w:r>
          </w:p>
        </w:tc>
        <w:tc>
          <w:tcPr>
            <w:tcW w:type="dxa" w:w="4600"/>
            <w:tcBorders>
              <w:top w:val="single" w:color="CCCCCC" w:sz="1"/>
              <w:left w:val="single" w:color="CCCCCC" w:sz="1"/>
              <w:bottom w:val="single" w:color="CCCCCC" w:sz="1"/>
              <w:right w:val="single" w:color="CCCCCC" w:sz="1"/>
            </w:tcBorders>
            <w:shd w:fill="EEF1F7" w:val="clear"/>
            <w:tcMar>
              <w:top w:type="dxa" w:w="80"/>
              <w:left w:type="dxa" w:w="10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Delta Assessment Engagement Letter &amp; Scope of Work</w:t>
            </w:r>
          </w:p>
        </w:tc>
        <w:tc>
          <w:tcPr>
            <w:tcW w:type="dxa" w:w="1400"/>
            <w:tcBorders>
              <w:top w:val="single" w:color="CCCCCC" w:sz="1"/>
              <w:left w:val="single" w:color="CCCCCC" w:sz="1"/>
              <w:bottom w:val="single" w:color="CCCCCC" w:sz="1"/>
              <w:right w:val="single" w:color="CCCCCC" w:sz="1"/>
            </w:tcBorders>
            <w:shd w:fill="EEF1F7" w:val="clear"/>
            <w:tcMar>
              <w:top w:type="dxa" w:w="80"/>
              <w:left w:type="dxa" w:w="10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Word</w:t>
            </w:r>
          </w:p>
        </w:tc>
        <w:tc>
          <w:tcPr>
            <w:tcW w:type="dxa" w:w="1946"/>
            <w:tcBorders>
              <w:top w:val="single" w:color="CCCCCC" w:sz="1"/>
              <w:left w:val="single" w:color="CCCCCC" w:sz="1"/>
              <w:bottom w:val="single" w:color="CCCCCC" w:sz="1"/>
              <w:right w:val="single" w:color="CCCCCC" w:sz="1"/>
            </w:tcBorders>
            <w:shd w:fill="EEF1F7" w:val="clear"/>
            <w:tcMar>
              <w:top w:type="dxa" w:w="80"/>
              <w:left w:type="dxa" w:w="10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03 February 2025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RCA-P3C-002</w:t>
            </w:r>
          </w:p>
        </w:tc>
        <w:tc>
          <w:tcPr>
            <w:tcW w:type="dxa" w:w="4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ECC-2:2024 Delta Fieldwork Checklist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Excel</w:t>
            </w:r>
          </w:p>
        </w:tc>
        <w:tc>
          <w:tcPr>
            <w:tcW w:type="dxa" w:w="194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14 March 2025</w:t>
            </w:r>
          </w:p>
        </w:tc>
      </w:tr>
      <w:tr>
        <w:tc>
          <w:tcPr>
            <w:tcW w:type="dxa" w:w="1800"/>
            <w:tcBorders>
              <w:top w:val="single" w:color="CCCCCC" w:sz="1"/>
              <w:left w:val="single" w:color="CCCCCC" w:sz="1"/>
              <w:bottom w:val="single" w:color="CCCCCC" w:sz="1"/>
              <w:right w:val="single" w:color="CCCCCC" w:sz="1"/>
            </w:tcBorders>
            <w:shd w:fill="EEF1F7" w:val="clear"/>
            <w:tcMar>
              <w:top w:type="dxa" w:w="80"/>
              <w:left w:type="dxa" w:w="10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RCA-P3C-003</w:t>
            </w:r>
          </w:p>
        </w:tc>
        <w:tc>
          <w:tcPr>
            <w:tcW w:type="dxa" w:w="4600"/>
            <w:tcBorders>
              <w:top w:val="single" w:color="CCCCCC" w:sz="1"/>
              <w:left w:val="single" w:color="CCCCCC" w:sz="1"/>
              <w:bottom w:val="single" w:color="CCCCCC" w:sz="1"/>
              <w:right w:val="single" w:color="CCCCCC" w:sz="1"/>
            </w:tcBorders>
            <w:shd w:fill="EEF1F7" w:val="clear"/>
            <w:tcMar>
              <w:top w:type="dxa" w:w="80"/>
              <w:left w:type="dxa" w:w="10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Delta Assessment Findings Report</w:t>
            </w:r>
          </w:p>
        </w:tc>
        <w:tc>
          <w:tcPr>
            <w:tcW w:type="dxa" w:w="1400"/>
            <w:tcBorders>
              <w:top w:val="single" w:color="CCCCCC" w:sz="1"/>
              <w:left w:val="single" w:color="CCCCCC" w:sz="1"/>
              <w:bottom w:val="single" w:color="CCCCCC" w:sz="1"/>
              <w:right w:val="single" w:color="CCCCCC" w:sz="1"/>
            </w:tcBorders>
            <w:shd w:fill="EEF1F7" w:val="clear"/>
            <w:tcMar>
              <w:top w:type="dxa" w:w="80"/>
              <w:left w:type="dxa" w:w="10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Word</w:t>
            </w:r>
          </w:p>
        </w:tc>
        <w:tc>
          <w:tcPr>
            <w:tcW w:type="dxa" w:w="1946"/>
            <w:tcBorders>
              <w:top w:val="single" w:color="CCCCCC" w:sz="1"/>
              <w:left w:val="single" w:color="CCCCCC" w:sz="1"/>
              <w:bottom w:val="single" w:color="CCCCCC" w:sz="1"/>
              <w:right w:val="single" w:color="CCCCCC" w:sz="1"/>
            </w:tcBorders>
            <w:shd w:fill="EEF1F7" w:val="clear"/>
            <w:tcMar>
              <w:top w:type="dxa" w:w="80"/>
              <w:left w:type="dxa" w:w="10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31 March 2025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RCA-P3C-004</w:t>
            </w:r>
          </w:p>
        </w:tc>
        <w:tc>
          <w:tcPr>
            <w:tcW w:type="dxa" w:w="4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Updated Risk Register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Excel</w:t>
            </w:r>
          </w:p>
        </w:tc>
        <w:tc>
          <w:tcPr>
            <w:tcW w:type="dxa" w:w="194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15 April 2025</w:t>
            </w:r>
          </w:p>
        </w:tc>
      </w:tr>
      <w:tr>
        <w:tc>
          <w:tcPr>
            <w:tcW w:type="dxa" w:w="1800"/>
            <w:tcBorders>
              <w:top w:val="single" w:color="CCCCCC" w:sz="1"/>
              <w:left w:val="single" w:color="CCCCCC" w:sz="1"/>
              <w:bottom w:val="single" w:color="CCCCCC" w:sz="1"/>
              <w:right w:val="single" w:color="CCCCCC" w:sz="1"/>
            </w:tcBorders>
            <w:shd w:fill="EEF1F7" w:val="clear"/>
            <w:tcMar>
              <w:top w:type="dxa" w:w="80"/>
              <w:left w:type="dxa" w:w="10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RCA-P3C-005</w:t>
            </w:r>
          </w:p>
        </w:tc>
        <w:tc>
          <w:tcPr>
            <w:tcW w:type="dxa" w:w="4600"/>
            <w:tcBorders>
              <w:top w:val="single" w:color="CCCCCC" w:sz="1"/>
              <w:left w:val="single" w:color="CCCCCC" w:sz="1"/>
              <w:bottom w:val="single" w:color="CCCCCC" w:sz="1"/>
              <w:right w:val="single" w:color="CCCCCC" w:sz="1"/>
            </w:tcBorders>
            <w:shd w:fill="EEF1F7" w:val="clear"/>
            <w:tcMar>
              <w:top w:type="dxa" w:w="80"/>
              <w:left w:type="dxa" w:w="10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Executive Summary</w:t>
            </w:r>
          </w:p>
        </w:tc>
        <w:tc>
          <w:tcPr>
            <w:tcW w:type="dxa" w:w="1400"/>
            <w:tcBorders>
              <w:top w:val="single" w:color="CCCCCC" w:sz="1"/>
              <w:left w:val="single" w:color="CCCCCC" w:sz="1"/>
              <w:bottom w:val="single" w:color="CCCCCC" w:sz="1"/>
              <w:right w:val="single" w:color="CCCCCC" w:sz="1"/>
            </w:tcBorders>
            <w:shd w:fill="EEF1F7" w:val="clear"/>
            <w:tcMar>
              <w:top w:type="dxa" w:w="80"/>
              <w:left w:type="dxa" w:w="10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Word</w:t>
            </w:r>
          </w:p>
        </w:tc>
        <w:tc>
          <w:tcPr>
            <w:tcW w:type="dxa" w:w="1946"/>
            <w:tcBorders>
              <w:top w:val="single" w:color="CCCCCC" w:sz="1"/>
              <w:left w:val="single" w:color="CCCCCC" w:sz="1"/>
              <w:bottom w:val="single" w:color="CCCCCC" w:sz="1"/>
              <w:right w:val="single" w:color="CCCCCC" w:sz="1"/>
            </w:tcBorders>
            <w:shd w:fill="EEF1F7" w:val="clear"/>
            <w:tcMar>
              <w:top w:type="dxa" w:w="80"/>
              <w:left w:type="dxa" w:w="10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30 April 2025</w:t>
            </w:r>
          </w:p>
        </w:tc>
      </w:tr>
    </w:tbl>
    <w:p>
      <w:pPr>
        <w:spacing w:after="200" w:before="0"/>
        <w:jc w:val="left"/>
      </w:pPr>
      <w:r>
        <w:t xml:space="preserve"> </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9146"/>
      </w:tblGrid>
      <w:tr>
        <w:tc>
          <w:tcPr>
            <w:tcW w:type="dxa" w:w="600"/>
            <w:tcBorders>
              <w:top w:val="none" w:color="FFFFFF" w:sz="0"/>
              <w:left w:val="none" w:color="FFFFFF" w:sz="0"/>
              <w:bottom w:val="none" w:color="FFFFFF" w:sz="0"/>
              <w:right w:val="none" w:color="FFFFFF" w:sz="0"/>
            </w:tcBorders>
            <w:shd w:fill="C8A951" w:val="clear"/>
            <w:tcMar>
              <w:top w:type="dxa" w:w="100"/>
              <w:left w:type="dxa" w:w="80"/>
              <w:bottom w:type="dxa" w:w="100"/>
              <w:right w:type="dxa" w:w="80"/>
            </w:tcMar>
            <w:vAlign w:val="center"/>
          </w:tcPr>
          <w:p>
            <w:pPr>
              <w:spacing w:after="0" w:before="0"/>
              <w:jc w:val="center"/>
            </w:pPr>
            <w:r>
              <w:rPr>
                <w:rFonts w:ascii="Arial" w:cs="Arial" w:eastAsia="Arial" w:hAnsi="Arial"/>
                <w:b/>
                <w:bCs/>
                <w:i w:val="false"/>
                <w:iCs w:val="false"/>
                <w:color w:val="FFFFFF"/>
                <w:sz w:val="22"/>
                <w:szCs w:val="22"/>
              </w:rPr>
              <w:t xml:space="preserve">5</w:t>
            </w:r>
          </w:p>
        </w:tc>
        <w:tc>
          <w:tcPr>
            <w:tcW w:type="dxa" w:w="9146"/>
            <w:tcBorders>
              <w:top w:val="none" w:color="FFFFFF" w:sz="0"/>
              <w:left w:val="none" w:color="FFFFFF" w:sz="0"/>
              <w:bottom w:val="none" w:color="FFFFFF" w:sz="0"/>
              <w:right w:val="none" w:color="FFFFFF" w:sz="0"/>
            </w:tcBorders>
            <w:shd w:fill="1B2A4A" w:val="clear"/>
            <w:tcMar>
              <w:top w:type="dxa" w:w="100"/>
              <w:left w:type="dxa" w:w="160"/>
              <w:bottom w:type="dxa" w:w="100"/>
              <w:right w:type="dxa" w:w="120"/>
            </w:tcMar>
            <w:vAlign w:val="top"/>
          </w:tcPr>
          <w:p>
            <w:pPr>
              <w:spacing w:after="0" w:before="0"/>
              <w:jc w:val="left"/>
            </w:pPr>
            <w:r>
              <w:rPr>
                <w:rFonts w:ascii="Arial" w:cs="Arial" w:eastAsia="Arial" w:hAnsi="Arial"/>
                <w:b/>
                <w:bCs/>
                <w:i w:val="false"/>
                <w:iCs w:val="false"/>
                <w:color w:val="FFFFFF"/>
                <w:sz w:val="22"/>
                <w:szCs w:val="22"/>
              </w:rPr>
              <w:t xml:space="preserve">Engagement Timeline</w:t>
            </w:r>
          </w:p>
        </w:tc>
      </w:tr>
    </w:tbl>
    <w:p>
      <w:pPr>
        <w:spacing w:after="160" w:before="0"/>
        <w:jc w:val="left"/>
      </w:pPr>
      <w:r>
        <w:t xml:space="preserve"> </w:t>
      </w:r>
    </w:p>
    <w:p>
      <w:pPr>
        <w:spacing w:after="120" w:before="0"/>
        <w:jc w:val="left"/>
      </w:pPr>
      <w:r>
        <w:rPr>
          <w:rFonts w:ascii="Arial" w:cs="Arial" w:eastAsia="Arial" w:hAnsi="Arial"/>
          <w:b w:val="false"/>
          <w:bCs w:val="false"/>
          <w:i w:val="false"/>
          <w:iCs w:val="false"/>
          <w:color w:val="1A1A1A"/>
          <w:sz w:val="19"/>
          <w:szCs w:val="19"/>
        </w:rPr>
        <w:t xml:space="preserve">The engagement will be executed across four phases within the period 03 February 2025 to 30 April 2025:</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746"/>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80"/>
            </w:tcMar>
            <w:vAlign w:val="top"/>
          </w:tcPr>
          <w:p>
            <w:pPr>
              <w:spacing w:after="0" w:before="0"/>
              <w:jc w:val="left"/>
            </w:pPr>
            <w:r>
              <w:rPr>
                <w:rFonts w:ascii="Arial" w:cs="Arial" w:eastAsia="Arial" w:hAnsi="Arial"/>
                <w:b/>
                <w:bCs/>
                <w:i w:val="false"/>
                <w:iCs w:val="false"/>
                <w:color w:val="FFFFFF"/>
                <w:sz w:val="18"/>
                <w:szCs w:val="18"/>
              </w:rPr>
              <w:t xml:space="preserve">Phase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80"/>
            </w:tcMar>
            <w:vAlign w:val="top"/>
          </w:tcPr>
          <w:p>
            <w:pPr>
              <w:spacing w:after="0" w:before="0"/>
              <w:jc w:val="left"/>
            </w:pPr>
            <w:r>
              <w:rPr>
                <w:rFonts w:ascii="Arial" w:cs="Arial" w:eastAsia="Arial" w:hAnsi="Arial"/>
                <w:b/>
                <w:bCs/>
                <w:i w:val="false"/>
                <w:iCs w:val="false"/>
                <w:color w:val="FFFFFF"/>
                <w:sz w:val="18"/>
                <w:szCs w:val="18"/>
              </w:rPr>
              <w:t xml:space="preserve">Period</w:t>
            </w:r>
          </w:p>
        </w:tc>
        <w:tc>
          <w:tcPr>
            <w:tcW w:type="dxa" w:w="4746"/>
            <w:tcBorders>
              <w:top w:val="single" w:color="CCCCCC" w:sz="1"/>
              <w:left w:val="single" w:color="CCCCCC" w:sz="1"/>
              <w:bottom w:val="single" w:color="CCCCCC" w:sz="1"/>
              <w:right w:val="single" w:color="CCCCCC" w:sz="1"/>
            </w:tcBorders>
            <w:shd w:fill="1B2A4A" w:val="clear"/>
            <w:tcMar>
              <w:top w:type="dxa" w:w="80"/>
              <w:left w:type="dxa" w:w="100"/>
              <w:bottom w:type="dxa" w:w="80"/>
              <w:right w:type="dxa" w:w="80"/>
            </w:tcMar>
            <w:vAlign w:val="top"/>
          </w:tcPr>
          <w:p>
            <w:pPr>
              <w:spacing w:after="0" w:before="0"/>
              <w:jc w:val="left"/>
            </w:pPr>
            <w:r>
              <w:rPr>
                <w:rFonts w:ascii="Arial" w:cs="Arial" w:eastAsia="Arial" w:hAnsi="Arial"/>
                <w:b/>
                <w:bCs/>
                <w:i w:val="false"/>
                <w:iCs w:val="false"/>
                <w:color w:val="FFFFFF"/>
                <w:sz w:val="18"/>
                <w:szCs w:val="18"/>
              </w:rPr>
              <w:t xml:space="preserve">Activity</w:t>
            </w:r>
          </w:p>
        </w:tc>
      </w:tr>
      <w:tr>
        <w:tc>
          <w:tcPr>
            <w:tcW w:type="dxa" w:w="2200"/>
            <w:tcBorders>
              <w:top w:val="single" w:color="CCCCCC" w:sz="1"/>
              <w:left w:val="single" w:color="CCCCCC" w:sz="1"/>
              <w:bottom w:val="single" w:color="CCCCCC" w:sz="1"/>
              <w:right w:val="single" w:color="CCCCCC" w:sz="1"/>
            </w:tcBorders>
            <w:shd w:fill="EEF1F7" w:val="clear"/>
            <w:tcMar>
              <w:top w:type="dxa" w:w="80"/>
              <w:left w:type="dxa" w:w="10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Phase 1 — Mobilisation</w:t>
            </w:r>
          </w:p>
        </w:tc>
        <w:tc>
          <w:tcPr>
            <w:tcW w:type="dxa" w:w="2800"/>
            <w:tcBorders>
              <w:top w:val="single" w:color="CCCCCC" w:sz="1"/>
              <w:left w:val="single" w:color="CCCCCC" w:sz="1"/>
              <w:bottom w:val="single" w:color="CCCCCC" w:sz="1"/>
              <w:right w:val="single" w:color="CCCCCC" w:sz="1"/>
            </w:tcBorders>
            <w:shd w:fill="EEF1F7" w:val="clear"/>
            <w:tcMar>
              <w:top w:type="dxa" w:w="80"/>
              <w:left w:type="dxa" w:w="10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03 – 07 Feb 2025</w:t>
            </w:r>
          </w:p>
        </w:tc>
        <w:tc>
          <w:tcPr>
            <w:tcW w:type="dxa" w:w="4746"/>
            <w:tcBorders>
              <w:top w:val="single" w:color="CCCCCC" w:sz="1"/>
              <w:left w:val="single" w:color="CCCCCC" w:sz="1"/>
              <w:bottom w:val="single" w:color="CCCCCC" w:sz="1"/>
              <w:right w:val="single" w:color="CCCCCC" w:sz="1"/>
            </w:tcBorders>
            <w:shd w:fill="EEF1F7" w:val="clear"/>
            <w:tcMar>
              <w:top w:type="dxa" w:w="80"/>
              <w:left w:type="dxa" w:w="10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Engagement kick-off; document request list issued; stakeholder interviews scheduled; baseline comparison of Project 3 findings initialised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Phase 2 — Fieldwork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10 Feb – 14 Mar 2025</w:t>
            </w:r>
          </w:p>
        </w:tc>
        <w:tc>
          <w:tcPr>
            <w:tcW w:type="dxa" w:w="474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ECC-2:2024 delta control assessment; review of remediation evidence against Project 3 CAP; system walkthroughs (Oracle Insurance, Guidewire, Azure AD); stakeholder interviews</w:t>
            </w:r>
          </w:p>
        </w:tc>
      </w:tr>
      <w:tr>
        <w:tc>
          <w:tcPr>
            <w:tcW w:type="dxa" w:w="2200"/>
            <w:tcBorders>
              <w:top w:val="single" w:color="CCCCCC" w:sz="1"/>
              <w:left w:val="single" w:color="CCCCCC" w:sz="1"/>
              <w:bottom w:val="single" w:color="CCCCCC" w:sz="1"/>
              <w:right w:val="single" w:color="CCCCCC" w:sz="1"/>
            </w:tcBorders>
            <w:shd w:fill="EEF1F7" w:val="clear"/>
            <w:tcMar>
              <w:top w:type="dxa" w:w="80"/>
              <w:left w:type="dxa" w:w="10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Phase 3 — Analysis &amp; Reporting</w:t>
            </w:r>
          </w:p>
        </w:tc>
        <w:tc>
          <w:tcPr>
            <w:tcW w:type="dxa" w:w="2800"/>
            <w:tcBorders>
              <w:top w:val="single" w:color="CCCCCC" w:sz="1"/>
              <w:left w:val="single" w:color="CCCCCC" w:sz="1"/>
              <w:bottom w:val="single" w:color="CCCCCC" w:sz="1"/>
              <w:right w:val="single" w:color="CCCCCC" w:sz="1"/>
            </w:tcBorders>
            <w:shd w:fill="EEF1F7" w:val="clear"/>
            <w:tcMar>
              <w:top w:type="dxa" w:w="80"/>
              <w:left w:type="dxa" w:w="10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17 – 31 Mar 2025</w:t>
            </w:r>
          </w:p>
        </w:tc>
        <w:tc>
          <w:tcPr>
            <w:tcW w:type="dxa" w:w="4746"/>
            <w:tcBorders>
              <w:top w:val="single" w:color="CCCCCC" w:sz="1"/>
              <w:left w:val="single" w:color="CCCCCC" w:sz="1"/>
              <w:bottom w:val="single" w:color="CCCCCC" w:sz="1"/>
              <w:right w:val="single" w:color="CCCCCC" w:sz="1"/>
            </w:tcBorders>
            <w:shd w:fill="EEF1F7" w:val="clear"/>
            <w:tcMar>
              <w:top w:type="dxa" w:w="80"/>
              <w:left w:type="dxa" w:w="10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Delta gap analysis; updated risk scoring; draft findings report issued to client for review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Phase 4 — Finalisation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01 – 30 Apr 2025</w:t>
            </w:r>
          </w:p>
        </w:tc>
        <w:tc>
          <w:tcPr>
            <w:tcW w:type="dxa" w:w="474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Client review period; findings validated; updated Risk Register and Executive Summary issued; engagement closed</w:t>
            </w:r>
          </w:p>
        </w:tc>
      </w:tr>
    </w:tbl>
    <w:p>
      <w:pPr>
        <w:spacing w:after="120" w:before="0"/>
        <w:jc w:val="left"/>
      </w:pPr>
      <w:r>
        <w:t xml:space="preserve"> </w:t>
      </w:r>
    </w:p>
    <w:p>
      <w:pPr>
        <w:spacing w:after="80" w:before="0"/>
        <w:jc w:val="left"/>
      </w:pPr>
      <w:r>
        <w:rPr>
          <w:rFonts w:ascii="Arial" w:cs="Arial" w:eastAsia="Arial" w:hAnsi="Arial"/>
          <w:b w:val="false"/>
          <w:bCs w:val="false"/>
          <w:i/>
          <w:iCs/>
          <w:color w:val="666666"/>
          <w:sz w:val="17"/>
          <w:szCs w:val="17"/>
        </w:rPr>
        <w:t xml:space="preserve">Note: As a returning client engagement, the mobilisation phase is abbreviated. Document request lists and interview scheduling will be issued on 03 February 2025. Fieldwork is expected to commence the week of 10 February 2025, subject to Client availability.</w:t>
      </w:r>
    </w:p>
    <w:p>
      <w:pPr>
        <w:spacing w:after="200" w:before="0"/>
        <w:jc w:val="left"/>
      </w:pPr>
      <w:r>
        <w:t xml:space="preserve"> </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9146"/>
      </w:tblGrid>
      <w:tr>
        <w:tc>
          <w:tcPr>
            <w:tcW w:type="dxa" w:w="600"/>
            <w:tcBorders>
              <w:top w:val="none" w:color="FFFFFF" w:sz="0"/>
              <w:left w:val="none" w:color="FFFFFF" w:sz="0"/>
              <w:bottom w:val="none" w:color="FFFFFF" w:sz="0"/>
              <w:right w:val="none" w:color="FFFFFF" w:sz="0"/>
            </w:tcBorders>
            <w:shd w:fill="C8A951" w:val="clear"/>
            <w:tcMar>
              <w:top w:type="dxa" w:w="100"/>
              <w:left w:type="dxa" w:w="80"/>
              <w:bottom w:type="dxa" w:w="100"/>
              <w:right w:type="dxa" w:w="80"/>
            </w:tcMar>
            <w:vAlign w:val="center"/>
          </w:tcPr>
          <w:p>
            <w:pPr>
              <w:spacing w:after="0" w:before="0"/>
              <w:jc w:val="center"/>
            </w:pPr>
            <w:r>
              <w:rPr>
                <w:rFonts w:ascii="Arial" w:cs="Arial" w:eastAsia="Arial" w:hAnsi="Arial"/>
                <w:b/>
                <w:bCs/>
                <w:i w:val="false"/>
                <w:iCs w:val="false"/>
                <w:color w:val="FFFFFF"/>
                <w:sz w:val="22"/>
                <w:szCs w:val="22"/>
              </w:rPr>
              <w:t xml:space="preserve">6</w:t>
            </w:r>
          </w:p>
        </w:tc>
        <w:tc>
          <w:tcPr>
            <w:tcW w:type="dxa" w:w="9146"/>
            <w:tcBorders>
              <w:top w:val="none" w:color="FFFFFF" w:sz="0"/>
              <w:left w:val="none" w:color="FFFFFF" w:sz="0"/>
              <w:bottom w:val="none" w:color="FFFFFF" w:sz="0"/>
              <w:right w:val="none" w:color="FFFFFF" w:sz="0"/>
            </w:tcBorders>
            <w:shd w:fill="1B2A4A" w:val="clear"/>
            <w:tcMar>
              <w:top w:type="dxa" w:w="100"/>
              <w:left w:type="dxa" w:w="160"/>
              <w:bottom w:type="dxa" w:w="100"/>
              <w:right w:type="dxa" w:w="120"/>
            </w:tcMar>
            <w:vAlign w:val="top"/>
          </w:tcPr>
          <w:p>
            <w:pPr>
              <w:spacing w:after="0" w:before="0"/>
              <w:jc w:val="left"/>
            </w:pPr>
            <w:r>
              <w:rPr>
                <w:rFonts w:ascii="Arial" w:cs="Arial" w:eastAsia="Arial" w:hAnsi="Arial"/>
                <w:b/>
                <w:bCs/>
                <w:i w:val="false"/>
                <w:iCs w:val="false"/>
                <w:color w:val="FFFFFF"/>
                <w:sz w:val="22"/>
                <w:szCs w:val="22"/>
              </w:rPr>
              <w:t xml:space="preserve">Roles and Responsibilities</w:t>
            </w:r>
          </w:p>
        </w:tc>
      </w:tr>
    </w:tbl>
    <w:p>
      <w:pPr>
        <w:spacing w:after="160" w:before="0"/>
        <w:jc w:val="left"/>
      </w:pPr>
      <w:r>
        <w:t xml:space="preserve"> </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c>
          <w:tcPr>
            <w:tcW w:type="dxa" w:w="4873"/>
            <w:tcBorders>
              <w:top w:val="single" w:color="CCCCCC" w:sz="1"/>
              <w:left w:val="single" w:color="CCCCCC" w:sz="1"/>
              <w:bottom w:val="single" w:color="CCCCCC" w:sz="1"/>
              <w:right w:val="single" w:color="CCCCCC" w:sz="1"/>
            </w:tcBorders>
            <w:shd w:fill="1B2A4A" w:val="clear"/>
            <w:tcMar>
              <w:top w:type="dxa" w:w="80"/>
              <w:left w:type="dxa" w:w="120"/>
              <w:bottom w:type="dxa" w:w="80"/>
              <w:right w:type="dxa" w:w="80"/>
            </w:tcMar>
            <w:vAlign w:val="top"/>
          </w:tcPr>
          <w:p>
            <w:pPr>
              <w:spacing w:after="0" w:before="0"/>
              <w:jc w:val="left"/>
            </w:pPr>
            <w:r>
              <w:rPr>
                <w:rFonts w:ascii="Arial" w:cs="Arial" w:eastAsia="Arial" w:hAnsi="Arial"/>
                <w:b/>
                <w:bCs/>
                <w:i w:val="false"/>
                <w:iCs w:val="false"/>
                <w:color w:val="FFFFFF"/>
                <w:sz w:val="18"/>
                <w:szCs w:val="18"/>
              </w:rPr>
              <w:t xml:space="preserve">Resolute Compliance Advisory LLP</w:t>
            </w:r>
          </w:p>
        </w:tc>
        <w:tc>
          <w:tcPr>
            <w:tcW w:type="dxa" w:w="4873"/>
            <w:tcBorders>
              <w:top w:val="single" w:color="CCCCCC" w:sz="1"/>
              <w:left w:val="single" w:color="CCCCCC" w:sz="1"/>
              <w:bottom w:val="single" w:color="CCCCCC" w:sz="1"/>
              <w:right w:val="single" w:color="CCCCCC" w:sz="1"/>
            </w:tcBorders>
            <w:shd w:fill="1B2A4A" w:val="clear"/>
            <w:tcMar>
              <w:top w:type="dxa" w:w="80"/>
              <w:left w:type="dxa" w:w="120"/>
              <w:bottom w:type="dxa" w:w="80"/>
              <w:right w:type="dxa" w:w="80"/>
            </w:tcMar>
            <w:vAlign w:val="top"/>
          </w:tcPr>
          <w:p>
            <w:pPr>
              <w:spacing w:after="0" w:before="0"/>
              <w:jc w:val="left"/>
            </w:pPr>
            <w:r>
              <w:rPr>
                <w:rFonts w:ascii="Arial" w:cs="Arial" w:eastAsia="Arial" w:hAnsi="Arial"/>
                <w:b/>
                <w:bCs/>
                <w:i w:val="false"/>
                <w:iCs w:val="false"/>
                <w:color w:val="FFFFFF"/>
                <w:sz w:val="18"/>
                <w:szCs w:val="18"/>
              </w:rPr>
              <w:t xml:space="preserve">Al Ameen Insurance Company</w:t>
            </w:r>
          </w:p>
        </w:tc>
      </w:tr>
      <w:tr>
        <w:tc>
          <w:tcPr>
            <w:tcW w:type="dxa" w:w="4873"/>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Conduct ECC-2:2024 delta control assessment against all 108 controls</w:t>
            </w:r>
          </w:p>
        </w:tc>
        <w:tc>
          <w:tcPr>
            <w:tcW w:type="dxa" w:w="4873"/>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Provide access to systems, documentation, and personnel as required</w:t>
            </w:r>
          </w:p>
        </w:tc>
      </w:tr>
      <w:tr>
        <w:tc>
          <w:tcPr>
            <w:tcW w:type="dxa" w:w="4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Review and validate remediation evidence submitted against Project 3 corrective action plan</w:t>
            </w:r>
          </w:p>
        </w:tc>
        <w:tc>
          <w:tcPr>
            <w:tcW w:type="dxa" w:w="4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Designate a primary point of contact to coordinate fieldwork activities</w:t>
            </w:r>
          </w:p>
        </w:tc>
      </w:tr>
      <w:tr>
        <w:tc>
          <w:tcPr>
            <w:tcW w:type="dxa" w:w="4873"/>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Conduct stakeholder interviews and system walkthroughs</w:t>
            </w:r>
          </w:p>
        </w:tc>
        <w:tc>
          <w:tcPr>
            <w:tcW w:type="dxa" w:w="4873"/>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Ensure availability of IT Operations Manager and relevant system owners during fieldwork</w:t>
            </w:r>
          </w:p>
        </w:tc>
      </w:tr>
      <w:tr>
        <w:tc>
          <w:tcPr>
            <w:tcW w:type="dxa" w:w="4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Produce all five deliverables listed in Section 4 within agreed timelines</w:t>
            </w:r>
          </w:p>
        </w:tc>
        <w:tc>
          <w:tcPr>
            <w:tcW w:type="dxa" w:w="4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Review draft findings report and provide written responses within 10 business days</w:t>
            </w:r>
          </w:p>
        </w:tc>
      </w:tr>
      <w:tr>
        <w:tc>
          <w:tcPr>
            <w:tcW w:type="dxa" w:w="4873"/>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Maintain confidentiality of all client information in accordance with the Non-Disclosure Agreement in force from Project 3</w:t>
            </w:r>
          </w:p>
        </w:tc>
        <w:tc>
          <w:tcPr>
            <w:tcW w:type="dxa" w:w="4873"/>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Implement corrective actions — remediation remains the sole responsibility of the Client</w:t>
            </w:r>
          </w:p>
        </w:tc>
      </w:tr>
    </w:tbl>
    <w:p>
      <w:pPr>
        <w:spacing w:after="200" w:before="0"/>
        <w:jc w:val="left"/>
      </w:pPr>
      <w:r>
        <w:t xml:space="preserve"> </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9146"/>
      </w:tblGrid>
      <w:tr>
        <w:tc>
          <w:tcPr>
            <w:tcW w:type="dxa" w:w="600"/>
            <w:tcBorders>
              <w:top w:val="none" w:color="FFFFFF" w:sz="0"/>
              <w:left w:val="none" w:color="FFFFFF" w:sz="0"/>
              <w:bottom w:val="none" w:color="FFFFFF" w:sz="0"/>
              <w:right w:val="none" w:color="FFFFFF" w:sz="0"/>
            </w:tcBorders>
            <w:shd w:fill="C8A951" w:val="clear"/>
            <w:tcMar>
              <w:top w:type="dxa" w:w="100"/>
              <w:left w:type="dxa" w:w="80"/>
              <w:bottom w:type="dxa" w:w="100"/>
              <w:right w:type="dxa" w:w="80"/>
            </w:tcMar>
            <w:vAlign w:val="center"/>
          </w:tcPr>
          <w:p>
            <w:pPr>
              <w:spacing w:after="0" w:before="0"/>
              <w:jc w:val="center"/>
            </w:pPr>
            <w:r>
              <w:rPr>
                <w:rFonts w:ascii="Arial" w:cs="Arial" w:eastAsia="Arial" w:hAnsi="Arial"/>
                <w:b/>
                <w:bCs/>
                <w:i w:val="false"/>
                <w:iCs w:val="false"/>
                <w:color w:val="FFFFFF"/>
                <w:sz w:val="22"/>
                <w:szCs w:val="22"/>
              </w:rPr>
              <w:t xml:space="preserve">7</w:t>
            </w:r>
          </w:p>
        </w:tc>
        <w:tc>
          <w:tcPr>
            <w:tcW w:type="dxa" w:w="9146"/>
            <w:tcBorders>
              <w:top w:val="none" w:color="FFFFFF" w:sz="0"/>
              <w:left w:val="none" w:color="FFFFFF" w:sz="0"/>
              <w:bottom w:val="none" w:color="FFFFFF" w:sz="0"/>
              <w:right w:val="none" w:color="FFFFFF" w:sz="0"/>
            </w:tcBorders>
            <w:shd w:fill="1B2A4A" w:val="clear"/>
            <w:tcMar>
              <w:top w:type="dxa" w:w="100"/>
              <w:left w:type="dxa" w:w="160"/>
              <w:bottom w:type="dxa" w:w="100"/>
              <w:right w:type="dxa" w:w="120"/>
            </w:tcMar>
            <w:vAlign w:val="top"/>
          </w:tcPr>
          <w:p>
            <w:pPr>
              <w:spacing w:after="0" w:before="0"/>
              <w:jc w:val="left"/>
            </w:pPr>
            <w:r>
              <w:rPr>
                <w:rFonts w:ascii="Arial" w:cs="Arial" w:eastAsia="Arial" w:hAnsi="Arial"/>
                <w:b/>
                <w:bCs/>
                <w:i w:val="false"/>
                <w:iCs w:val="false"/>
                <w:color w:val="FFFFFF"/>
                <w:sz w:val="22"/>
                <w:szCs w:val="22"/>
              </w:rPr>
              <w:t xml:space="preserve">Fees and Payment Terms</w:t>
            </w:r>
          </w:p>
        </w:tc>
      </w:tr>
    </w:tbl>
    <w:p>
      <w:pPr>
        <w:spacing w:after="160" w:before="0"/>
        <w:jc w:val="left"/>
      </w:pPr>
      <w:r>
        <w:t xml:space="preserve"> </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00"/>
        <w:gridCol w:w="5946"/>
      </w:tblGrid>
      <w:tr>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80"/>
            </w:tcMar>
            <w:vAlign w:val="top"/>
          </w:tcPr>
          <w:p>
            <w:pPr>
              <w:spacing w:after="0" w:before="0"/>
              <w:jc w:val="left"/>
            </w:pPr>
            <w:r>
              <w:rPr>
                <w:rFonts w:ascii="Arial" w:cs="Arial" w:eastAsia="Arial" w:hAnsi="Arial"/>
                <w:b/>
                <w:bCs/>
                <w:i w:val="false"/>
                <w:iCs w:val="false"/>
                <w:color w:val="FFFFFF"/>
                <w:sz w:val="18"/>
                <w:szCs w:val="18"/>
              </w:rPr>
              <w:t xml:space="preserve">Item</w:t>
            </w:r>
          </w:p>
        </w:tc>
        <w:tc>
          <w:tcPr>
            <w:tcW w:type="dxa" w:w="594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80"/>
            </w:tcMar>
            <w:vAlign w:val="top"/>
          </w:tcPr>
          <w:p>
            <w:pPr>
              <w:spacing w:after="0" w:before="0"/>
              <w:jc w:val="left"/>
            </w:pPr>
            <w:r>
              <w:rPr>
                <w:rFonts w:ascii="Arial" w:cs="Arial" w:eastAsia="Arial" w:hAnsi="Arial"/>
                <w:b/>
                <w:bCs/>
                <w:i w:val="false"/>
                <w:iCs w:val="false"/>
                <w:color w:val="FFFFFF"/>
                <w:sz w:val="18"/>
                <w:szCs w:val="18"/>
              </w:rPr>
              <w:t xml:space="preserve">Detail</w:t>
            </w:r>
          </w:p>
        </w:tc>
      </w:tr>
      <w:tr>
        <w:tc>
          <w:tcPr>
            <w:tcW w:type="dxa" w:w="38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Engagement Type</w:t>
            </w:r>
          </w:p>
        </w:tc>
        <w:tc>
          <w:tcPr>
            <w:tcW w:type="dxa" w:w="5946"/>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Returning client — delta assessment (reduced scope vs initial engagement)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Fixed Fee</w:t>
            </w:r>
          </w:p>
        </w:tc>
        <w:tc>
          <w:tcPr>
            <w:tcW w:type="dxa" w:w="5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SAR 48,000 (inclusive of all professional fees)</w:t>
            </w:r>
          </w:p>
        </w:tc>
      </w:tr>
      <w:tr>
        <w:tc>
          <w:tcPr>
            <w:tcW w:type="dxa" w:w="38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Expenses</w:t>
            </w:r>
          </w:p>
        </w:tc>
        <w:tc>
          <w:tcPr>
            <w:tcW w:type="dxa" w:w="5946"/>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Travel and accommodation, if required, billed at cost with prior written approval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Payment Schedule</w:t>
            </w:r>
          </w:p>
        </w:tc>
        <w:tc>
          <w:tcPr>
            <w:tcW w:type="dxa" w:w="5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50% upon engagement commencement (03 February 2025); 50% upon delivery of final Executive Summary (30 April 2025)</w:t>
            </w:r>
          </w:p>
        </w:tc>
      </w:tr>
      <w:tr>
        <w:tc>
          <w:tcPr>
            <w:tcW w:type="dxa" w:w="38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Currency</w:t>
            </w:r>
          </w:p>
        </w:tc>
        <w:tc>
          <w:tcPr>
            <w:tcW w:type="dxa" w:w="5946"/>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Saudi Riyal (SAR)</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Invoicing</w:t>
            </w:r>
          </w:p>
        </w:tc>
        <w:tc>
          <w:tcPr>
            <w:tcW w:type="dxa" w:w="5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Invoices issued to Al Ameen Insurance Company — Accounts Payable department</w:t>
            </w:r>
          </w:p>
        </w:tc>
      </w:tr>
    </w:tbl>
    <w:p>
      <w:pPr>
        <w:spacing w:after="200" w:before="0"/>
        <w:jc w:val="left"/>
      </w:pPr>
      <w:r>
        <w:t xml:space="preserve"> </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9146"/>
      </w:tblGrid>
      <w:tr>
        <w:tc>
          <w:tcPr>
            <w:tcW w:type="dxa" w:w="600"/>
            <w:tcBorders>
              <w:top w:val="none" w:color="FFFFFF" w:sz="0"/>
              <w:left w:val="none" w:color="FFFFFF" w:sz="0"/>
              <w:bottom w:val="none" w:color="FFFFFF" w:sz="0"/>
              <w:right w:val="none" w:color="FFFFFF" w:sz="0"/>
            </w:tcBorders>
            <w:shd w:fill="C8A951" w:val="clear"/>
            <w:tcMar>
              <w:top w:type="dxa" w:w="100"/>
              <w:left w:type="dxa" w:w="80"/>
              <w:bottom w:type="dxa" w:w="100"/>
              <w:right w:type="dxa" w:w="80"/>
            </w:tcMar>
            <w:vAlign w:val="center"/>
          </w:tcPr>
          <w:p>
            <w:pPr>
              <w:spacing w:after="0" w:before="0"/>
              <w:jc w:val="center"/>
            </w:pPr>
            <w:r>
              <w:rPr>
                <w:rFonts w:ascii="Arial" w:cs="Arial" w:eastAsia="Arial" w:hAnsi="Arial"/>
                <w:b/>
                <w:bCs/>
                <w:i w:val="false"/>
                <w:iCs w:val="false"/>
                <w:color w:val="FFFFFF"/>
                <w:sz w:val="22"/>
                <w:szCs w:val="22"/>
              </w:rPr>
              <w:t xml:space="preserve">8</w:t>
            </w:r>
          </w:p>
        </w:tc>
        <w:tc>
          <w:tcPr>
            <w:tcW w:type="dxa" w:w="9146"/>
            <w:tcBorders>
              <w:top w:val="none" w:color="FFFFFF" w:sz="0"/>
              <w:left w:val="none" w:color="FFFFFF" w:sz="0"/>
              <w:bottom w:val="none" w:color="FFFFFF" w:sz="0"/>
              <w:right w:val="none" w:color="FFFFFF" w:sz="0"/>
            </w:tcBorders>
            <w:shd w:fill="1B2A4A" w:val="clear"/>
            <w:tcMar>
              <w:top w:type="dxa" w:w="100"/>
              <w:left w:type="dxa" w:w="160"/>
              <w:bottom w:type="dxa" w:w="100"/>
              <w:right w:type="dxa" w:w="120"/>
            </w:tcMar>
            <w:vAlign w:val="top"/>
          </w:tcPr>
          <w:p>
            <w:pPr>
              <w:spacing w:after="0" w:before="0"/>
              <w:jc w:val="left"/>
            </w:pPr>
            <w:r>
              <w:rPr>
                <w:rFonts w:ascii="Arial" w:cs="Arial" w:eastAsia="Arial" w:hAnsi="Arial"/>
                <w:b/>
                <w:bCs/>
                <w:i w:val="false"/>
                <w:iCs w:val="false"/>
                <w:color w:val="FFFFFF"/>
                <w:sz w:val="22"/>
                <w:szCs w:val="22"/>
              </w:rPr>
              <w:t xml:space="preserve">General Terms and Conditions</w:t>
            </w:r>
          </w:p>
        </w:tc>
      </w:tr>
    </w:tbl>
    <w:p>
      <w:pPr>
        <w:spacing w:after="160" w:before="0"/>
        <w:jc w:val="left"/>
      </w:pPr>
      <w:r>
        <w:t xml:space="preserve"> </w:t>
      </w:r>
    </w:p>
    <w:p>
      <w:pPr>
        <w:spacing w:after="120" w:before="0"/>
        <w:jc w:val="left"/>
      </w:pPr>
      <w:r>
        <w:t xml:space="preserve"> </w:t>
      </w:r>
    </w:p>
    <w:p>
      <w:pPr>
        <w:pBdr>
          <w:bottom w:val="single" w:color="C8A951" w:sz="6" w:space="4"/>
        </w:pBdr>
        <w:spacing w:after="80" w:before="0"/>
        <w:jc w:val="left"/>
      </w:pPr>
      <w:r>
        <w:rPr>
          <w:rFonts w:ascii="Arial" w:cs="Arial" w:eastAsia="Arial" w:hAnsi="Arial"/>
          <w:b/>
          <w:bCs/>
          <w:i w:val="false"/>
          <w:iCs w:val="false"/>
          <w:color w:val="1B2A4A"/>
          <w:sz w:val="20"/>
          <w:szCs w:val="20"/>
        </w:rPr>
        <w:t xml:space="preserve">8.1  Confidentiality</w:t>
      </w:r>
    </w:p>
    <w:p>
      <w:pPr>
        <w:spacing w:after="120" w:before="0"/>
        <w:jc w:val="left"/>
      </w:pPr>
      <w:r>
        <w:rPr>
          <w:rFonts w:ascii="Arial" w:cs="Arial" w:eastAsia="Arial" w:hAnsi="Arial"/>
          <w:b w:val="false"/>
          <w:bCs w:val="false"/>
          <w:i w:val="false"/>
          <w:iCs w:val="false"/>
          <w:color w:val="1A1A1A"/>
          <w:sz w:val="19"/>
          <w:szCs w:val="19"/>
        </w:rPr>
        <w:t xml:space="preserve">All information exchanged under this engagement is subject to the Non-Disclosure Agreement (NDA) executed between the parties during the Project 3 engagement (RCA-P3). The NDA remains in full force and effect for the duration of this engagement and for a period of three years following its conclusion.</w:t>
      </w:r>
    </w:p>
    <w:p>
      <w:pPr>
        <w:spacing w:after="120" w:before="0"/>
        <w:jc w:val="left"/>
      </w:pPr>
      <w:r>
        <w:t xml:space="preserve"> </w:t>
      </w:r>
    </w:p>
    <w:p>
      <w:pPr>
        <w:pBdr>
          <w:bottom w:val="single" w:color="C8A951" w:sz="6" w:space="4"/>
        </w:pBdr>
        <w:spacing w:after="80" w:before="0"/>
        <w:jc w:val="left"/>
      </w:pPr>
      <w:r>
        <w:rPr>
          <w:rFonts w:ascii="Arial" w:cs="Arial" w:eastAsia="Arial" w:hAnsi="Arial"/>
          <w:b/>
          <w:bCs/>
          <w:i w:val="false"/>
          <w:iCs w:val="false"/>
          <w:color w:val="1B2A4A"/>
          <w:sz w:val="20"/>
          <w:szCs w:val="20"/>
        </w:rPr>
        <w:t xml:space="preserve">8.2  Independence</w:t>
      </w:r>
    </w:p>
    <w:p>
      <w:pPr>
        <w:spacing w:after="120" w:before="0"/>
        <w:jc w:val="left"/>
      </w:pPr>
      <w:r>
        <w:rPr>
          <w:rFonts w:ascii="Arial" w:cs="Arial" w:eastAsia="Arial" w:hAnsi="Arial"/>
          <w:b w:val="false"/>
          <w:bCs w:val="false"/>
          <w:i w:val="false"/>
          <w:iCs w:val="false"/>
          <w:color w:val="1A1A1A"/>
          <w:sz w:val="19"/>
          <w:szCs w:val="19"/>
        </w:rPr>
        <w:t xml:space="preserve">Resolute Compliance Advisory LLP confirms that this engagement is conducted as an independent advisory assessment. The Firm has no commercial interest in any system, product, or vendor referenced in the assessment findings. All findings and recommendations are based solely on the evidence reviewed during fieldwork.</w:t>
      </w:r>
    </w:p>
    <w:p>
      <w:pPr>
        <w:spacing w:after="120" w:before="0"/>
        <w:jc w:val="left"/>
      </w:pPr>
      <w:r>
        <w:t xml:space="preserve"> </w:t>
      </w:r>
    </w:p>
    <w:p>
      <w:pPr>
        <w:pBdr>
          <w:bottom w:val="single" w:color="C8A951" w:sz="6" w:space="4"/>
        </w:pBdr>
        <w:spacing w:after="80" w:before="0"/>
        <w:jc w:val="left"/>
      </w:pPr>
      <w:r>
        <w:rPr>
          <w:rFonts w:ascii="Arial" w:cs="Arial" w:eastAsia="Arial" w:hAnsi="Arial"/>
          <w:b/>
          <w:bCs/>
          <w:i w:val="false"/>
          <w:iCs w:val="false"/>
          <w:color w:val="1B2A4A"/>
          <w:sz w:val="20"/>
          <w:szCs w:val="20"/>
        </w:rPr>
        <w:t xml:space="preserve">8.3  Reliance on Client Information</w:t>
      </w:r>
    </w:p>
    <w:p>
      <w:pPr>
        <w:spacing w:after="120" w:before="0"/>
        <w:jc w:val="left"/>
      </w:pPr>
      <w:r>
        <w:rPr>
          <w:rFonts w:ascii="Arial" w:cs="Arial" w:eastAsia="Arial" w:hAnsi="Arial"/>
          <w:b w:val="false"/>
          <w:bCs w:val="false"/>
          <w:i w:val="false"/>
          <w:iCs w:val="false"/>
          <w:color w:val="1A1A1A"/>
          <w:sz w:val="19"/>
          <w:szCs w:val="19"/>
        </w:rPr>
        <w:t xml:space="preserve">The findings of this assessment are based on information, documentation, and system access provided by the Client. Resolute Compliance Advisory LLP accepts no liability for findings that arise from incomplete, inaccurate, or withheld information. The Client is responsible for ensuring that all relevant documentation and personnel are made available during the fieldwork period.</w:t>
      </w:r>
    </w:p>
    <w:p>
      <w:pPr>
        <w:spacing w:after="120" w:before="0"/>
        <w:jc w:val="left"/>
      </w:pPr>
      <w:r>
        <w:t xml:space="preserve"> </w:t>
      </w:r>
    </w:p>
    <w:p>
      <w:pPr>
        <w:pBdr>
          <w:bottom w:val="single" w:color="C8A951" w:sz="6" w:space="4"/>
        </w:pBdr>
        <w:spacing w:after="80" w:before="0"/>
        <w:jc w:val="left"/>
      </w:pPr>
      <w:r>
        <w:rPr>
          <w:rFonts w:ascii="Arial" w:cs="Arial" w:eastAsia="Arial" w:hAnsi="Arial"/>
          <w:b/>
          <w:bCs/>
          <w:i w:val="false"/>
          <w:iCs w:val="false"/>
          <w:color w:val="1B2A4A"/>
          <w:sz w:val="20"/>
          <w:szCs w:val="20"/>
        </w:rPr>
        <w:t xml:space="preserve">8.4  Limitation of Liability</w:t>
      </w:r>
    </w:p>
    <w:p>
      <w:pPr>
        <w:spacing w:after="120" w:before="0"/>
        <w:jc w:val="left"/>
      </w:pPr>
      <w:r>
        <w:rPr>
          <w:rFonts w:ascii="Arial" w:cs="Arial" w:eastAsia="Arial" w:hAnsi="Arial"/>
          <w:b w:val="false"/>
          <w:bCs w:val="false"/>
          <w:i w:val="false"/>
          <w:iCs w:val="false"/>
          <w:color w:val="1A1A1A"/>
          <w:sz w:val="19"/>
          <w:szCs w:val="19"/>
        </w:rPr>
        <w:t xml:space="preserve">The total liability of Resolute Compliance Advisory LLP under this engagement shall not exceed the total professional fees paid by the Client for this engagement. The Firm shall not be liable for indirect, consequential, or incidental losses arising from the use of, or reliance upon, the deliverables produced under this engagement.</w:t>
      </w:r>
    </w:p>
    <w:p>
      <w:pPr>
        <w:spacing w:after="120" w:before="0"/>
        <w:jc w:val="left"/>
      </w:pPr>
      <w:r>
        <w:t xml:space="preserve"> </w:t>
      </w:r>
    </w:p>
    <w:p>
      <w:pPr>
        <w:pBdr>
          <w:bottom w:val="single" w:color="C8A951" w:sz="6" w:space="4"/>
        </w:pBdr>
        <w:spacing w:after="80" w:before="0"/>
        <w:jc w:val="left"/>
      </w:pPr>
      <w:r>
        <w:rPr>
          <w:rFonts w:ascii="Arial" w:cs="Arial" w:eastAsia="Arial" w:hAnsi="Arial"/>
          <w:b/>
          <w:bCs/>
          <w:i w:val="false"/>
          <w:iCs w:val="false"/>
          <w:color w:val="1B2A4A"/>
          <w:sz w:val="20"/>
          <w:szCs w:val="20"/>
        </w:rPr>
        <w:t xml:space="preserve">8.5  Governing Law</w:t>
      </w:r>
    </w:p>
    <w:p>
      <w:pPr>
        <w:spacing w:after="120" w:before="0"/>
        <w:jc w:val="left"/>
      </w:pPr>
      <w:r>
        <w:rPr>
          <w:rFonts w:ascii="Arial" w:cs="Arial" w:eastAsia="Arial" w:hAnsi="Arial"/>
          <w:b w:val="false"/>
          <w:bCs w:val="false"/>
          <w:i w:val="false"/>
          <w:iCs w:val="false"/>
          <w:color w:val="1A1A1A"/>
          <w:sz w:val="19"/>
          <w:szCs w:val="19"/>
        </w:rPr>
        <w:t xml:space="preserve">This engagement letter is governed by the laws of the Kingdom of Saudi Arabia. Any disputes arising under this engagement shall be subject to the exclusive jurisdiction of the competent courts of Riyadh.</w:t>
      </w:r>
    </w:p>
    <w:p>
      <w:pPr>
        <w:spacing w:after="120" w:before="0"/>
        <w:jc w:val="left"/>
      </w:pPr>
      <w:r>
        <w:t xml:space="preserve"> </w:t>
      </w:r>
    </w:p>
    <w:p>
      <w:pPr>
        <w:pBdr>
          <w:bottom w:val="single" w:color="C8A951" w:sz="6" w:space="4"/>
        </w:pBdr>
        <w:spacing w:after="80" w:before="0"/>
        <w:jc w:val="left"/>
      </w:pPr>
      <w:r>
        <w:rPr>
          <w:rFonts w:ascii="Arial" w:cs="Arial" w:eastAsia="Arial" w:hAnsi="Arial"/>
          <w:b/>
          <w:bCs/>
          <w:i w:val="false"/>
          <w:iCs w:val="false"/>
          <w:color w:val="1B2A4A"/>
          <w:sz w:val="20"/>
          <w:szCs w:val="20"/>
        </w:rPr>
        <w:t xml:space="preserve">8.6  Amendments</w:t>
      </w:r>
    </w:p>
    <w:p>
      <w:pPr>
        <w:spacing w:after="120" w:before="0"/>
        <w:jc w:val="left"/>
      </w:pPr>
      <w:r>
        <w:rPr>
          <w:rFonts w:ascii="Arial" w:cs="Arial" w:eastAsia="Arial" w:hAnsi="Arial"/>
          <w:b w:val="false"/>
          <w:bCs w:val="false"/>
          <w:i w:val="false"/>
          <w:iCs w:val="false"/>
          <w:color w:val="1A1A1A"/>
          <w:sz w:val="19"/>
          <w:szCs w:val="19"/>
        </w:rPr>
        <w:t xml:space="preserve">Any amendments to the scope of work, timeline, or fees must be agreed in writing by both parties prior to implementation. Verbal agreements or email exchanges do not constitute amendments to this engagement letter unless confirmed in a formal written addendum signed by authorised representatives of both parties.</w:t>
      </w:r>
    </w:p>
    <w:p>
      <w:pPr>
        <w:spacing w:after="200" w:before="0"/>
        <w:jc w:val="left"/>
      </w:pPr>
      <w:r>
        <w:t xml:space="preserve"> </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9146"/>
      </w:tblGrid>
      <w:tr>
        <w:tc>
          <w:tcPr>
            <w:tcW w:type="dxa" w:w="600"/>
            <w:tcBorders>
              <w:top w:val="none" w:color="FFFFFF" w:sz="0"/>
              <w:left w:val="none" w:color="FFFFFF" w:sz="0"/>
              <w:bottom w:val="none" w:color="FFFFFF" w:sz="0"/>
              <w:right w:val="none" w:color="FFFFFF" w:sz="0"/>
            </w:tcBorders>
            <w:shd w:fill="C8A951" w:val="clear"/>
            <w:tcMar>
              <w:top w:type="dxa" w:w="100"/>
              <w:left w:type="dxa" w:w="80"/>
              <w:bottom w:type="dxa" w:w="100"/>
              <w:right w:type="dxa" w:w="80"/>
            </w:tcMar>
            <w:vAlign w:val="center"/>
          </w:tcPr>
          <w:p>
            <w:pPr>
              <w:spacing w:after="0" w:before="0"/>
              <w:jc w:val="center"/>
            </w:pPr>
            <w:r>
              <w:rPr>
                <w:rFonts w:ascii="Arial" w:cs="Arial" w:eastAsia="Arial" w:hAnsi="Arial"/>
                <w:b/>
                <w:bCs/>
                <w:i w:val="false"/>
                <w:iCs w:val="false"/>
                <w:color w:val="FFFFFF"/>
                <w:sz w:val="22"/>
                <w:szCs w:val="22"/>
              </w:rPr>
              <w:t xml:space="preserve">9</w:t>
            </w:r>
          </w:p>
        </w:tc>
        <w:tc>
          <w:tcPr>
            <w:tcW w:type="dxa" w:w="9146"/>
            <w:tcBorders>
              <w:top w:val="none" w:color="FFFFFF" w:sz="0"/>
              <w:left w:val="none" w:color="FFFFFF" w:sz="0"/>
              <w:bottom w:val="none" w:color="FFFFFF" w:sz="0"/>
              <w:right w:val="none" w:color="FFFFFF" w:sz="0"/>
            </w:tcBorders>
            <w:shd w:fill="1B2A4A" w:val="clear"/>
            <w:tcMar>
              <w:top w:type="dxa" w:w="100"/>
              <w:left w:type="dxa" w:w="160"/>
              <w:bottom w:type="dxa" w:w="100"/>
              <w:right w:type="dxa" w:w="120"/>
            </w:tcMar>
            <w:vAlign w:val="top"/>
          </w:tcPr>
          <w:p>
            <w:pPr>
              <w:spacing w:after="0" w:before="0"/>
              <w:jc w:val="left"/>
            </w:pPr>
            <w:r>
              <w:rPr>
                <w:rFonts w:ascii="Arial" w:cs="Arial" w:eastAsia="Arial" w:hAnsi="Arial"/>
                <w:b/>
                <w:bCs/>
                <w:i w:val="false"/>
                <w:iCs w:val="false"/>
                <w:color w:val="FFFFFF"/>
                <w:sz w:val="22"/>
                <w:szCs w:val="22"/>
              </w:rPr>
              <w:t xml:space="preserve">Acceptance</w:t>
            </w:r>
          </w:p>
        </w:tc>
      </w:tr>
    </w:tbl>
    <w:p>
      <w:pPr>
        <w:spacing w:after="160" w:before="0"/>
        <w:jc w:val="left"/>
      </w:pPr>
      <w:r>
        <w:t xml:space="preserve"> </w:t>
      </w:r>
    </w:p>
    <w:p>
      <w:pPr>
        <w:spacing w:after="200" w:before="0"/>
        <w:jc w:val="left"/>
      </w:pPr>
      <w:r>
        <w:rPr>
          <w:rFonts w:ascii="Arial" w:cs="Arial" w:eastAsia="Arial" w:hAnsi="Arial"/>
          <w:b w:val="false"/>
          <w:bCs w:val="false"/>
          <w:i w:val="false"/>
          <w:iCs w:val="false"/>
          <w:color w:val="1A1A1A"/>
          <w:sz w:val="19"/>
          <w:szCs w:val="19"/>
        </w:rPr>
        <w:t xml:space="preserve">By signing below, both parties confirm their agreement to the terms, scope, deliverables, and conditions set out in this Engagement Letter.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673"/>
        <w:gridCol w:w="400"/>
        <w:gridCol w:w="4673"/>
      </w:tblGrid>
      <w:tr>
        <w:tc>
          <w:tcPr>
            <w:tcW w:type="dxa" w:w="4673"/>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666666"/>
                <w:sz w:val="17"/>
                <w:szCs w:val="17"/>
              </w:rPr>
              <w:t xml:space="preserve">For and on behalf of</w:t>
            </w:r>
          </w:p>
          <w:p>
            <w:pPr>
              <w:spacing w:after="0" w:before="0"/>
              <w:jc w:val="left"/>
            </w:pPr>
            <w:r>
              <w:rPr>
                <w:rFonts w:ascii="Arial" w:cs="Arial" w:eastAsia="Arial" w:hAnsi="Arial"/>
                <w:b/>
                <w:bCs/>
                <w:i w:val="false"/>
                <w:iCs w:val="false"/>
                <w:color w:val="1B2A4A"/>
                <w:sz w:val="19"/>
                <w:szCs w:val="19"/>
              </w:rPr>
              <w:t xml:space="preserve">RESOLUTE COMPLIANCE ADVISORY LLP</w:t>
            </w:r>
          </w:p>
          <w:p>
            <w:pPr>
              <w:spacing w:after="300" w:before="0"/>
              <w:jc w:val="left"/>
            </w:pPr>
            <w:r>
              <w:t xml:space="preserve"> </w:t>
            </w:r>
          </w:p>
          <w:p>
            <w:pPr>
              <w:spacing w:after="0" w:before="0"/>
              <w:jc w:val="left"/>
            </w:pPr>
            <w:r>
              <w:rPr>
                <w:rFonts w:ascii="Arial" w:cs="Arial" w:eastAsia="Arial" w:hAnsi="Arial"/>
                <w:b w:val="false"/>
                <w:bCs w:val="false"/>
                <w:i w:val="false"/>
                <w:iCs w:val="false"/>
                <w:color w:val="1B2A4A"/>
                <w:sz w:val="19"/>
                <w:szCs w:val="19"/>
              </w:rPr>
              <w:t xml:space="preserve">_________________________________</w:t>
            </w:r>
          </w:p>
          <w:p>
            <w:pPr>
              <w:spacing w:after="0" w:before="0"/>
              <w:jc w:val="left"/>
            </w:pPr>
            <w:r>
              <w:rPr>
                <w:rFonts w:ascii="Arial" w:cs="Arial" w:eastAsia="Arial" w:hAnsi="Arial"/>
                <w:b/>
                <w:bCs/>
                <w:i w:val="false"/>
                <w:iCs w:val="false"/>
                <w:color w:val="1B2A4A"/>
                <w:sz w:val="19"/>
                <w:szCs w:val="19"/>
              </w:rPr>
              <w:t xml:space="preserve">kay Shahbaaz</w:t>
            </w:r>
          </w:p>
          <w:p>
            <w:pPr>
              <w:spacing w:after="0" w:before="0"/>
              <w:jc w:val="left"/>
            </w:pPr>
            <w:r>
              <w:rPr>
                <w:rFonts w:ascii="Arial" w:cs="Arial" w:eastAsia="Arial" w:hAnsi="Arial"/>
                <w:b w:val="false"/>
                <w:bCs w:val="false"/>
                <w:i w:val="false"/>
                <w:iCs w:val="false"/>
                <w:color w:val="666666"/>
                <w:sz w:val="17"/>
                <w:szCs w:val="17"/>
              </w:rPr>
              <w:t xml:space="preserve">GRC Auditor</w:t>
            </w:r>
          </w:p>
          <w:p>
            <w:pPr>
              <w:spacing w:after="0" w:before="0"/>
              <w:jc w:val="left"/>
            </w:pPr>
            <w:r>
              <w:rPr>
                <w:rFonts w:ascii="Arial" w:cs="Arial" w:eastAsia="Arial" w:hAnsi="Arial"/>
                <w:b w:val="false"/>
                <w:bCs w:val="false"/>
                <w:i w:val="false"/>
                <w:iCs w:val="false"/>
                <w:color w:val="666666"/>
                <w:sz w:val="17"/>
                <w:szCs w:val="17"/>
              </w:rPr>
              <w:t xml:space="preserve">Date: 03 February 2025</w:t>
            </w:r>
          </w:p>
        </w:tc>
        <w:tc>
          <w:tcPr>
            <w:tcW w:type="dxa" w:w="4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0" w:before="0"/>
              <w:jc w:val="left"/>
            </w:pPr>
            <w:r>
              <w:t xml:space="preserve"> </w:t>
            </w:r>
          </w:p>
        </w:tc>
        <w:tc>
          <w:tcPr>
            <w:tcW w:type="dxa" w:w="4673"/>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666666"/>
                <w:sz w:val="17"/>
                <w:szCs w:val="17"/>
              </w:rPr>
              <w:t xml:space="preserve">For and on behalf of</w:t>
            </w:r>
          </w:p>
          <w:p>
            <w:pPr>
              <w:spacing w:after="0" w:before="0"/>
              <w:jc w:val="left"/>
            </w:pPr>
            <w:r>
              <w:rPr>
                <w:rFonts w:ascii="Arial" w:cs="Arial" w:eastAsia="Arial" w:hAnsi="Arial"/>
                <w:b/>
                <w:bCs/>
                <w:i w:val="false"/>
                <w:iCs w:val="false"/>
                <w:color w:val="1B2A4A"/>
                <w:sz w:val="19"/>
                <w:szCs w:val="19"/>
              </w:rPr>
              <w:t xml:space="preserve">AL AMEEN INSURANCE COMPANY</w:t>
            </w:r>
          </w:p>
          <w:p>
            <w:pPr>
              <w:spacing w:after="300" w:before="0"/>
              <w:jc w:val="left"/>
            </w:pPr>
            <w:r>
              <w:t xml:space="preserve"> </w:t>
            </w:r>
          </w:p>
          <w:p>
            <w:pPr>
              <w:spacing w:after="0" w:before="0"/>
              <w:jc w:val="left"/>
            </w:pPr>
            <w:r>
              <w:rPr>
                <w:rFonts w:ascii="Arial" w:cs="Arial" w:eastAsia="Arial" w:hAnsi="Arial"/>
                <w:b w:val="false"/>
                <w:bCs w:val="false"/>
                <w:i w:val="false"/>
                <w:iCs w:val="false"/>
                <w:color w:val="1B2A4A"/>
                <w:sz w:val="19"/>
                <w:szCs w:val="19"/>
              </w:rPr>
              <w:t xml:space="preserve">_________________________________</w:t>
            </w:r>
          </w:p>
          <w:p>
            <w:pPr>
              <w:spacing w:after="0" w:before="0"/>
              <w:jc w:val="left"/>
            </w:pPr>
            <w:r>
              <w:rPr>
                <w:rFonts w:ascii="Arial" w:cs="Arial" w:eastAsia="Arial" w:hAnsi="Arial"/>
                <w:b w:val="false"/>
                <w:bCs w:val="false"/>
                <w:i w:val="false"/>
                <w:iCs w:val="false"/>
                <w:color w:val="666666"/>
                <w:sz w:val="17"/>
                <w:szCs w:val="17"/>
              </w:rPr>
              <w:t xml:space="preserve">Name: ___________________________</w:t>
            </w:r>
          </w:p>
          <w:p>
            <w:pPr>
              <w:spacing w:after="0" w:before="0"/>
              <w:jc w:val="left"/>
            </w:pPr>
            <w:r>
              <w:rPr>
                <w:rFonts w:ascii="Arial" w:cs="Arial" w:eastAsia="Arial" w:hAnsi="Arial"/>
                <w:b w:val="false"/>
                <w:bCs w:val="false"/>
                <w:i w:val="false"/>
                <w:iCs w:val="false"/>
                <w:color w:val="666666"/>
                <w:sz w:val="17"/>
                <w:szCs w:val="17"/>
              </w:rPr>
              <w:t xml:space="preserve">Title: ____________________________</w:t>
            </w:r>
          </w:p>
          <w:p>
            <w:pPr>
              <w:spacing w:after="0" w:before="0"/>
              <w:jc w:val="left"/>
            </w:pPr>
            <w:r>
              <w:rPr>
                <w:rFonts w:ascii="Arial" w:cs="Arial" w:eastAsia="Arial" w:hAnsi="Arial"/>
                <w:b w:val="false"/>
                <w:bCs w:val="false"/>
                <w:i w:val="false"/>
                <w:iCs w:val="false"/>
                <w:color w:val="666666"/>
                <w:sz w:val="17"/>
                <w:szCs w:val="17"/>
              </w:rPr>
              <w:t xml:space="preserve">Date: ____________________________</w:t>
            </w:r>
          </w:p>
        </w:tc>
      </w:tr>
    </w:tbl>
    <w:p>
      <w:pPr>
        <w:spacing w:after="200" w:before="0"/>
        <w:jc w:val="left"/>
      </w:pPr>
      <w:r>
        <w:t xml:space="preserve"> </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EEF1F7" w:val="clear"/>
            <w:tcMar>
              <w:top w:type="dxa" w:w="120"/>
              <w:left w:type="dxa" w:w="160"/>
              <w:bottom w:type="dxa" w:w="120"/>
              <w:right w:type="dxa" w:w="160"/>
            </w:tcMar>
            <w:vAlign w:val="top"/>
          </w:tcPr>
          <w:p>
            <w:pPr>
              <w:spacing w:after="0" w:before="0"/>
              <w:jc w:val="center"/>
            </w:pPr>
            <w:r>
              <w:rPr>
                <w:rFonts w:ascii="Arial" w:cs="Arial" w:eastAsia="Arial" w:hAnsi="Arial"/>
                <w:b w:val="false"/>
                <w:bCs w:val="false"/>
                <w:i/>
                <w:iCs/>
                <w:color w:val="666666"/>
                <w:sz w:val="17"/>
                <w:szCs w:val="17"/>
              </w:rPr>
              <w:t xml:space="preserve">This document is issued under the authority of Resolute Compliance Advisory LLP. Queries regarding this engagement should be directed to kay Shahbaaz, GRC Auditor, Resolute Compliance Advisory LLP.</w:t>
            </w:r>
          </w:p>
        </w:tc>
      </w:tr>
    </w:tbl>
    <w:sectPr>
      <w:headerReference w:type="default" r:id="rId7"/>
      <w:footerReference w:type="default" r:id="rId8"/>
      <w:pgSz w:w="11906" w:h="16838" w:orient="portrait"/>
      <w:pgMar w:top="1200" w:right="1080" w:bottom="12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4A" w:sz="4" w:space="4"/>
      </w:pBdr>
      <w:tabs>
        <w:tab w:val="right" w:pos="9746"/>
      </w:tabs>
      <w:spacing w:before="80"/>
    </w:pPr>
    <w:r>
      <w:rPr>
        <w:rFonts w:ascii="Arial" w:cs="Arial" w:eastAsia="Arial" w:hAnsi="Arial"/>
        <w:color w:val="666666"/>
        <w:sz w:val="16"/>
        <w:szCs w:val="16"/>
      </w:rPr>
      <w:t xml:space="preserve">Resolute Compliance Advisory LLP  ·  RCA-P3C-001  ·  v1.0  ·  CONFIDENTIAL</w:t>
    </w:r>
    <w:r>
      <w:rPr>
        <w:rFonts w:ascii="Arial" w:cs="Arial" w:eastAsia="Arial" w:hAnsi="Arial"/>
        <w:sz w:val="16"/>
        <w:szCs w:val="16"/>
      </w:rPr>
      <w:t xml:space="preserve">	</w:t>
    </w:r>
    <w:r>
      <w:rPr>
        <w:rFonts w:ascii="Arial" w:cs="Arial" w:eastAsia="Arial" w:hAnsi="Arial"/>
        <w:color w:val="666666"/>
        <w:sz w:val="16"/>
        <w:szCs w:val="16"/>
      </w:rPr>
      <w:t xml:space="preserve">Page </w:t>
    </w:r>
    <w:fldSimple w:instr="PAGE">
      <w:r>
        <w:rPr>
          <w:rFonts w:ascii="Arial" w:cs="Arial" w:eastAsia="Arial" w:hAnsi="Arial"/>
          <w:color w:val="666666"/>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46"/>
      <w:tblBorders>
        <w:top w:val="none" w:color="FFFFFF" w:sz="0"/>
        <w:left w:val="none" w:color="FFFFFF" w:sz="0"/>
        <w:bottom w:val="single" w:color="1B2A4A" w:sz="8"/>
        <w:right w:val="none" w:color="FFFFFF" w:sz="0"/>
        <w:insideH w:val="single" w:color="auto" w:sz="4"/>
        <w:insideV w:val="single" w:color="auto" w:sz="4"/>
      </w:tblBorders>
    </w:tblPr>
    <w:tblGrid>
      <w:gridCol w:w="6946"/>
      <w:gridCol w:w="2800"/>
    </w:tblGrid>
    <w:tr>
      <w:tc>
        <w:tcPr>
          <w:tcW w:type="dxa" w:w="6946"/>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B2A4A"/>
              <w:sz w:val="22"/>
              <w:szCs w:val="22"/>
            </w:rPr>
            <w:t xml:space="preserve">RESOLUTE</w:t>
          </w:r>
          <w:r>
            <w:rPr>
              <w:rFonts w:ascii="Arial" w:cs="Arial" w:eastAsia="Arial" w:hAnsi="Arial"/>
              <w:b w:val="false"/>
              <w:bCs w:val="false"/>
              <w:i w:val="false"/>
              <w:iCs w:val="false"/>
              <w:color w:val="1B2A4A"/>
              <w:sz w:val="16"/>
              <w:szCs w:val="16"/>
            </w:rPr>
            <w:t xml:space="preserve"> COMPLIANCE ADVISORY LLP</w:t>
          </w:r>
        </w:p>
        <w:p>
          <w:pPr>
            <w:spacing w:after="0" w:before="0"/>
            <w:jc w:val="left"/>
          </w:pPr>
          <w:r>
            <w:rPr>
              <w:rFonts w:ascii="Arial" w:cs="Arial" w:eastAsia="Arial" w:hAnsi="Arial"/>
              <w:b w:val="false"/>
              <w:bCs w:val="false"/>
              <w:i/>
              <w:iCs/>
              <w:color w:val="666666"/>
              <w:sz w:val="16"/>
              <w:szCs w:val="16"/>
            </w:rPr>
            <w:t xml:space="preserve">Governance · Risk · Compliance</w:t>
          </w:r>
        </w:p>
      </w:tc>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0" w:before="0"/>
            <w:jc w:val="right"/>
          </w:pPr>
          <w:r>
            <w:rPr>
              <w:rFonts w:ascii="Arial" w:cs="Arial" w:eastAsia="Arial" w:hAnsi="Arial"/>
              <w:b/>
              <w:bCs/>
              <w:i w:val="false"/>
              <w:iCs w:val="false"/>
              <w:color w:val="C8A951"/>
              <w:sz w:val="16"/>
              <w:szCs w:val="16"/>
            </w:rPr>
            <w:t xml:space="preserve">CONFIDENTIAL</w:t>
          </w:r>
        </w:p>
        <w:p>
          <w:pPr>
            <w:spacing w:after="0" w:before="0"/>
            <w:jc w:val="right"/>
          </w:pPr>
          <w:r>
            <w:rPr>
              <w:rFonts w:ascii="Arial" w:cs="Arial" w:eastAsia="Arial" w:hAnsi="Arial"/>
              <w:b w:val="false"/>
              <w:bCs w:val="false"/>
              <w:i w:val="false"/>
              <w:iCs w:val="false"/>
              <w:color w:val="666666"/>
              <w:sz w:val="16"/>
              <w:szCs w:val="16"/>
            </w:rPr>
            <w:t xml:space="preserve">RCA-P3C-001</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2026-06-26T20:18:10.917Z</dcterms:created>
  <dcterms:modified xsi:type="dcterms:W3CDTF">2026-06-26T20:18:10.929Z</dcterms:modified>
</cp:coreProperties>
</file>

<file path=docProps/custom.xml><?xml version="1.0" encoding="utf-8"?>
<Properties xmlns="http://schemas.openxmlformats.org/officeDocument/2006/custom-properties" xmlns:vt="http://schemas.openxmlformats.org/officeDocument/2006/docPropsVTypes"/>
</file>