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320"/>
              <w:left w:type="dxa" w:w="300"/>
              <w:bottom w:type="dxa" w:w="320"/>
              <w:right w:type="dxa" w:w="300"/>
            </w:tcMar>
          </w:tcPr>
          <w:p>
            <w:pPr>
              <w:spacing w:after="60"/>
            </w:pPr>
            <w:r>
              <w:rPr>
                <w:rFonts w:ascii="Arial" w:cs="Arial" w:eastAsia="Arial" w:hAnsi="Arial"/>
                <w:b/>
                <w:bCs/>
                <w:color w:val="FFFFFF"/>
                <w:sz w:val="36"/>
                <w:szCs w:val="36"/>
              </w:rPr>
              <w:t xml:space="preserve">RESOLUTE COMPLIANCE ADVISORY LLP</w:t>
            </w:r>
          </w:p>
          <w:p>
            <w:pPr>
              <w:spacing w:after="0"/>
            </w:pPr>
            <w:r>
              <w:rPr>
                <w:rFonts w:ascii="Arial" w:cs="Arial" w:eastAsia="Arial" w:hAnsi="Arial"/>
                <w:i/>
                <w:iCs/>
                <w:color w:val="C8A951"/>
                <w:sz w:val="22"/>
                <w:szCs w:val="22"/>
              </w:rPr>
              <w:t xml:space="preserve">Governance · Risk · Compliance</w:t>
            </w:r>
          </w:p>
        </w:tc>
      </w:tr>
    </w:tbl>
    <w:p>
      <w:pPr>
        <w:spacing w:after="200"/>
      </w:pPr>
      <w:r>
        <w:rPr>
          <w:rFonts w:ascii="Arial" w:cs="Arial" w:eastAsia="Arial" w:hAnsi="Arial"/>
          <w:color w:val="1A1A1A"/>
          <w:sz w:val="22"/>
          <w:szCs w:val="22"/>
        </w:rPr>
        <w:t xml:space="preserve"/>
      </w:r>
    </w:p>
    <w:p>
      <w:pPr>
        <w:spacing w:after="40"/>
        <w:jc w:val="center"/>
      </w:pPr>
      <w:r>
        <w:rPr>
          <w:rFonts w:ascii="Arial" w:cs="Arial" w:eastAsia="Arial" w:hAnsi="Arial"/>
          <w:b/>
          <w:bCs/>
          <w:color w:val="1B2A4A"/>
          <w:sz w:val="32"/>
          <w:szCs w:val="32"/>
        </w:rPr>
        <w:t xml:space="preserve">NCA ECC-1:2018 COMPLIANCE AUDIT</w:t>
      </w:r>
    </w:p>
    <w:p>
      <w:pPr>
        <w:spacing w:after="40"/>
        <w:jc w:val="center"/>
      </w:pPr>
      <w:r>
        <w:rPr>
          <w:rFonts w:ascii="Arial" w:cs="Arial" w:eastAsia="Arial" w:hAnsi="Arial"/>
          <w:b/>
          <w:bCs/>
          <w:color w:val="C8A951"/>
          <w:sz w:val="28"/>
          <w:szCs w:val="28"/>
        </w:rPr>
        <w:t xml:space="preserve">AUDIT FINDINGS REPORT</w:t>
      </w:r>
    </w:p>
    <w:p>
      <w:pPr>
        <w:pBdr>
          <w:bottom w:val="single" w:color="C8A951" w:sz="8"/>
        </w:pBdr>
        <w:spacing w:after="280"/>
        <w:jc w:val="center"/>
      </w:pPr>
    </w:p>
    <w:p>
      <w:pPr>
        <w:spacing w:after="200"/>
      </w:pPr>
      <w:r>
        <w:rPr>
          <w:rFonts w:ascii="Arial" w:cs="Arial" w:eastAsia="Arial" w:hAnsi="Arial"/>
          <w:color w:val="1A1A1A"/>
          <w:sz w:val="22"/>
          <w:szCs w:val="22"/>
        </w:rPr>
        <w:t xml:space="preserve"/>
      </w:r>
    </w:p>
    <w:tbl>
      <w:tblPr>
        <w:tblW w:type="dxa" w:w="9746"/>
        <w:tblBorders>
          <w:top w:val="none" w:color="FFFFFF" w:sz="0"/>
          <w:left w:val="single" w:color="C8A951" w:sz="2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C8A951" w:sz="20"/>
              <w:bottom w:val="none" w:color="FFFFFF" w:sz="0"/>
              <w:right w:val="none" w:color="FFFFFF" w:sz="0"/>
            </w:tcBorders>
            <w:shd w:fill="EEF1F7" w:val="clear"/>
            <w:tcMar>
              <w:top w:type="dxa" w:w="200"/>
              <w:left w:type="dxa" w:w="300"/>
              <w:bottom w:type="dxa" w:w="200"/>
              <w:right w:type="dxa" w:w="300"/>
            </w:tcMar>
          </w:tcPr>
          <w:p>
            <w:pPr>
              <w:spacing w:after="60"/>
            </w:pPr>
            <w:r>
              <w:rPr>
                <w:rFonts w:ascii="Arial" w:cs="Arial" w:eastAsia="Arial" w:hAnsi="Arial"/>
                <w:i/>
                <w:iCs/>
                <w:color w:val="666666"/>
                <w:sz w:val="18"/>
                <w:szCs w:val="18"/>
              </w:rPr>
              <w:t xml:space="preserve">Prepared for</w:t>
            </w:r>
          </w:p>
          <w:p>
            <w:pPr>
              <w:spacing w:after="40"/>
            </w:pPr>
            <w:r>
              <w:rPr>
                <w:rFonts w:ascii="Arial" w:cs="Arial" w:eastAsia="Arial" w:hAnsi="Arial"/>
                <w:b/>
                <w:bCs/>
                <w:color w:val="1B2A4A"/>
                <w:sz w:val="30"/>
                <w:szCs w:val="30"/>
              </w:rPr>
              <w:t xml:space="preserve">Rawabi Health Services Co.</w:t>
            </w:r>
          </w:p>
          <w:p>
            <w:pPr>
              <w:spacing w:after="40"/>
            </w:pPr>
            <w:r>
              <w:rPr>
                <w:rFonts w:ascii="Arial" w:hAnsi="Arial"/>
                <w:sz w:val="24"/>
                <w:szCs w:val="24"/>
                <w:color w:val="666666"/>
              </w:rPr>
              <w:t xml:space="preserve">شركة روابي للخدمات الصحية</w:t>
            </w:r>
          </w:p>
          <w:p>
            <w:pPr>
              <w:spacing w:after="40"/>
            </w:pPr>
            <w:r>
              <w:rPr>
                <w:rFonts w:ascii="Arial" w:cs="Arial" w:eastAsia="Arial" w:hAnsi="Arial"/>
                <w:color w:val="666666"/>
                <w:sz w:val="22"/>
                <w:szCs w:val="22"/>
              </w:rPr>
              <w:t xml:space="preserve">Healthcare Services  ·  Jeddah, Saudi Arabia</w:t>
            </w:r>
          </w:p>
          <w:p>
            <w:pPr>
              <w:spacing w:after="0"/>
            </w:pPr>
            <w:r>
              <w:rPr>
                <w:rFonts w:ascii="Arial" w:cs="Arial" w:eastAsia="Arial" w:hAnsi="Arial"/>
                <w:color w:val="666666"/>
                <w:sz w:val="22"/>
                <w:szCs w:val="22"/>
              </w:rPr>
              <w:t xml:space="preserve">Audit Period:  10 November 2024 – 31 January 2025</w:t>
            </w:r>
          </w:p>
        </w:tc>
      </w:tr>
    </w:tbl>
    <w:p>
      <w:pPr>
        <w:spacing w:after="30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9"/>
        <w:gridCol w:w="3249"/>
      </w:tblGrid>
      <w:tr>
        <w:tc>
          <w:tcPr>
            <w:tcW w:type="dxa" w:w="324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Prepared by</w:t>
            </w:r>
          </w:p>
          <w:p>
            <w:pPr>
              <w:spacing w:after="20"/>
            </w:pPr>
            <w:r>
              <w:rPr>
                <w:rFonts w:ascii="Arial" w:cs="Arial" w:eastAsia="Arial" w:hAnsi="Arial"/>
                <w:b/>
                <w:bCs/>
                <w:color w:val="1B2A4A"/>
                <w:sz w:val="22"/>
                <w:szCs w:val="22"/>
              </w:rPr>
              <w:t xml:space="preserve">kay Shahbaaz</w:t>
            </w:r>
          </w:p>
          <w:p>
            <w:pPr>
              <w:spacing w:after="0"/>
            </w:pPr>
            <w:r>
              <w:rPr>
                <w:rFonts w:ascii="Arial" w:cs="Arial" w:eastAsia="Arial" w:hAnsi="Arial"/>
                <w:color w:val="666666"/>
                <w:sz w:val="20"/>
                <w:szCs w:val="20"/>
              </w:rPr>
              <w:t xml:space="preserve">GRC Auditor</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Date</w:t>
            </w:r>
          </w:p>
          <w:p>
            <w:pPr>
              <w:spacing w:after="0"/>
            </w:pPr>
            <w:r>
              <w:rPr>
                <w:rFonts w:ascii="Arial" w:cs="Arial" w:eastAsia="Arial" w:hAnsi="Arial"/>
                <w:b/>
                <w:bCs/>
                <w:color w:val="1B2A4A"/>
                <w:sz w:val="22"/>
                <w:szCs w:val="22"/>
              </w:rPr>
              <w:t xml:space="preserve">31 January 2025</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Document Ref</w:t>
            </w:r>
          </w:p>
          <w:p>
            <w:pPr>
              <w:spacing w:after="0"/>
            </w:pPr>
            <w:r>
              <w:rPr>
                <w:rFonts w:ascii="Arial" w:cs="Arial" w:eastAsia="Arial" w:hAnsi="Arial"/>
                <w:b/>
                <w:bCs/>
                <w:color w:val="1B2A4A"/>
                <w:sz w:val="22"/>
                <w:szCs w:val="22"/>
              </w:rPr>
              <w:t xml:space="preserve">RCA-P4-003</w:t>
            </w:r>
          </w:p>
        </w:tc>
      </w:tr>
    </w:tbl>
    <w:p>
      <w:pPr>
        <w:spacing w:after="30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80"/>
              <w:jc w:val="center"/>
            </w:pPr>
            <w:r>
              <w:rPr>
                <w:rFonts w:ascii="Arial" w:cs="Arial" w:eastAsia="Arial" w:hAnsi="Arial"/>
                <w:b/>
                <w:bCs/>
                <w:color w:val="C8A951"/>
                <w:sz w:val="18"/>
                <w:szCs w:val="18"/>
              </w:rPr>
              <w:t xml:space="preserve">CONFIDENTIALITY NOTICE</w:t>
            </w:r>
          </w:p>
          <w:p>
            <w:pPr>
              <w:spacing w:after="0"/>
              <w:jc w:val="center"/>
            </w:pPr>
            <w:r>
              <w:rPr>
                <w:rFonts w:ascii="Arial" w:cs="Arial" w:eastAsia="Arial" w:hAnsi="Arial"/>
                <w:i/>
                <w:iCs/>
                <w:color w:val="EEF1F7"/>
                <w:sz w:val="16"/>
                <w:szCs w:val="16"/>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pacing w:after="0"/>
      </w:pPr>
      <w:r>
        <w:br w:type="page"/>
      </w:r>
    </w:p>
    <w:p>
      <w:pPr>
        <w:shd w:fill="1B2A4A" w:val="clear"/>
        <w:spacing w:after="0" w:before="240"/>
        <w:ind w:left="120" w:right="120"/>
      </w:pPr>
      <w:r>
        <w:rPr>
          <w:rFonts w:ascii="Arial" w:cs="Arial" w:eastAsia="Arial" w:hAnsi="Arial"/>
          <w:b/>
          <w:bCs/>
          <w:color w:val="FFFFFF"/>
          <w:sz w:val="26"/>
          <w:szCs w:val="26"/>
        </w:rPr>
        <w:t xml:space="preserve">Document Control</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Document Title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NCA ECC-1:2018 Compliance Audit — Findings Report</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RCA-P4-003</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Client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Rawabi Health Services Co.</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Frameworks</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NCA Essential Cybersecurity Controls (ECC-1:2018)</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kay Shahbaaz  |  GRC Auditor</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Reviewed by</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Resolute Compliance Advisory LLP</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Audit Period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10 November 2024 – 31 January 2025</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Version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v1.0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Classification</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CONFIDENTIAL</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Status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Final</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1.   Executive Summary</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Resolute Compliance Advisory LLP conducted a compliance audit of Rawabi Health Services Co. against the National Cybersecurity Authority Essential Cybersecurity Controls (NCA ECC-1:2018) during the period 10 November 2024 to 31 January 2025. The audit assessed all 114 controls across the five ECC domains through document review, stakeholder interviews, and system walkthroughs of the Napas Hospital Information System (HIS), Agfa PACS, and on-premise Active Directory environment.</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1.1   Overall Conformance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Total Controls Assessed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114</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Conformant</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41  (36.0%)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Partial</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49  (43.0%)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Non-Conformant</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24  (21.0%)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Overall Conformance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36.0%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Audit Conclusion</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Significant gaps identified. Cybersecurity governance, risk management, and third-party controls are materially absent. Immediate remediation required.</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Rawabi's cybersecurity posture reflects an organisation where basic IT infrastructure is operational but cybersecurity governance is entirely absent. The organisation has no documented cybersecurity strategy, no formal risk assessment, and no incident response capability. The most critical finding is the uncontrolled remote access granted to the Napas HIS vendor — a live risk with a risk score of 25 (L5 × I5) — which places patient health data and clinical operations in immediate jeopardy. The flat network architecture, with no segmentation between clinical and administrative systems, compounds this exposure significantly.</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1.2   Findings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346"/>
        <w:gridCol w:w="1500"/>
        <w:gridCol w:w="15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Finding ID</w:t>
            </w:r>
          </w:p>
        </w:tc>
        <w:tc>
          <w:tcPr>
            <w:tcW w:type="dxa" w:w="53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Finding Title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ECC Domain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Severity</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F-001</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cybersecurity strategy or governance framework</w:t>
            </w:r>
          </w:p>
        </w:tc>
        <w:tc>
          <w:tcPr>
            <w:tcW w:type="dxa" w:w="15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Governance</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F-002</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cybersecurity risk assessment process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Governance</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F-003</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Napas vendor remote access uncontrolled — LIVE RISK</w:t>
            </w:r>
          </w:p>
        </w:tc>
        <w:tc>
          <w:tcPr>
            <w:tcW w:type="dxa" w:w="15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4 — Third-Party</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F-004</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network segmentation — flat network 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 — Operations</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F-005</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cybersecurity incident response procedure</w:t>
            </w:r>
          </w:p>
        </w:tc>
        <w:tc>
          <w:tcPr>
            <w:tcW w:type="dxa" w:w="15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Governance</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F-006</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security awareness training programme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Governance</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F-007</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Vulnerability management absent — no patching schedule</w:t>
            </w:r>
          </w:p>
        </w:tc>
        <w:tc>
          <w:tcPr>
            <w:tcW w:type="dxa" w:w="15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 — Risk Mgmt</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F-008</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backup integrity testing or offsite recovery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Governance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jc w:val="center"/>
            </w:pPr>
            <w:r>
              <w:rPr>
                <w:rFonts w:ascii="Arial" w:cs="Arial" w:eastAsia="Arial" w:hAnsi="Arial"/>
                <w:b/>
                <w:bCs/>
                <w:color w:val="2980B9"/>
                <w:sz w:val="22"/>
                <w:szCs w:val="22"/>
              </w:rPr>
              <w:t xml:space="preserve">MEDIUM</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2.   Audit Scope &amp; Methodology</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2.1   Scope</w:t>
      </w:r>
    </w:p>
    <w:p>
      <w:pPr>
        <w:spacing w:after="120"/>
      </w:pPr>
      <w:r>
        <w:rPr>
          <w:rFonts w:ascii="Arial" w:cs="Arial" w:eastAsia="Arial" w:hAnsi="Arial"/>
          <w:color w:val="1A1A1A"/>
          <w:sz w:val="22"/>
          <w:szCs w:val="22"/>
        </w:rPr>
        <w:t xml:space="preserve">This audit assessed Rawabi Health Services Co. against all 114 controls contained in the NCA Essential Cybersecurity Controls (ECC-1:2018), organised across five domains: Cybersecurity Governance (Domain 1), Cybersecurity Risk Management (Domain 2), Cybersecurity Operations (Domain 3), Third-Party and Cloud Computing Cybersecurity (Domain 4), and Industrial Control Systems Cybersecurity (Domain 5). Domain 5 controls were assessed for applicability and found not to apply to Rawabi's current environment; no dedicated ICS or OT infrastructure was identified.</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2.2   Methodology</w:t>
      </w:r>
    </w:p>
    <w:p>
      <w:pPr>
        <w:spacing w:after="120"/>
      </w:pPr>
      <w:r>
        <w:rPr>
          <w:rFonts w:ascii="Arial" w:cs="Arial" w:eastAsia="Arial" w:hAnsi="Arial"/>
          <w:color w:val="1A1A1A"/>
          <w:sz w:val="22"/>
          <w:szCs w:val="22"/>
        </w:rPr>
        <w:t xml:space="preserve">The audit was conducted using an evidence-based methodology comprising three primary activities:</w:t>
      </w:r>
    </w:p>
    <w:p>
      <w:pPr>
        <w:pStyle w:val="ListParagraph"/>
        <w:numPr>
          <w:ilvl w:val="0"/>
          <w:numId w:val="2"/>
        </w:numPr>
        <w:spacing w:after="60"/>
      </w:pPr>
      <w:r>
        <w:rPr>
          <w:rFonts w:ascii="Arial" w:cs="Arial" w:eastAsia="Arial" w:hAnsi="Arial"/>
          <w:color w:val="1A1A1A"/>
          <w:sz w:val="22"/>
          <w:szCs w:val="22"/>
        </w:rPr>
        <w:t xml:space="preserve">Document review — policies, procedures, system configurations, vendor contracts, and records requested from the Client via the Document Request List issued at engagement kickoff on 10 November 2024</w:t>
      </w:r>
    </w:p>
    <w:p>
      <w:pPr>
        <w:pStyle w:val="ListParagraph"/>
        <w:numPr>
          <w:ilvl w:val="0"/>
          <w:numId w:val="2"/>
        </w:numPr>
        <w:spacing w:after="60"/>
      </w:pPr>
      <w:r>
        <w:rPr>
          <w:rFonts w:ascii="Arial" w:cs="Arial" w:eastAsia="Arial" w:hAnsi="Arial"/>
          <w:color w:val="1A1A1A"/>
          <w:sz w:val="22"/>
          <w:szCs w:val="22"/>
        </w:rPr>
        <w:t xml:space="preserve">Stakeholder interviews — structured interviews conducted with the IT Manager, Operations Manager, IT infrastructure staff, and clinic administrators at both the Jeddah and Medina sites</w:t>
      </w:r>
    </w:p>
    <w:p>
      <w:pPr>
        <w:pStyle w:val="ListParagraph"/>
        <w:numPr>
          <w:ilvl w:val="0"/>
          <w:numId w:val="2"/>
        </w:numPr>
        <w:spacing w:after="60"/>
      </w:pPr>
      <w:r>
        <w:rPr>
          <w:rFonts w:ascii="Arial" w:cs="Arial" w:eastAsia="Arial" w:hAnsi="Arial"/>
          <w:color w:val="1A1A1A"/>
          <w:sz w:val="22"/>
          <w:szCs w:val="22"/>
        </w:rPr>
        <w:t xml:space="preserve">System walkthroughs — supervised inspection of the Napas HIS administration console, Agfa PACS configuration, Active Directory user and group structure, Microsoft 365 administration portal, and on-site data centre physical controls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Each control was rated using the following four-point scale: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Conformant (C)</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Control fully implemented; supporting evidence reviewed and confirmed adequate</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Partial (P)</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Control partially implemented; evidence reviewed but gaps or weaknesses identified</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Non-Conformant (NC)</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Control absent or ineffective; no evidence of implementation provided</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Not Applicable (NA)</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Control not applicable to Rawabi's operating environment</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3.   Conformance Overview by Domain</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200"/>
        <w:gridCol w:w="1400"/>
        <w:gridCol w:w="1200"/>
        <w:gridCol w:w="1946"/>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Domain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Controls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Conformant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Partial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Non-Conformant</w:t>
            </w:r>
          </w:p>
        </w:tc>
        <w:tc>
          <w:tcPr>
            <w:tcW w:type="dxa" w:w="1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Conformance %</w:t>
            </w:r>
          </w:p>
        </w:tc>
      </w:tr>
      <w:tr>
        <w:tc>
          <w:tcPr>
            <w:tcW w:type="dxa" w:w="3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 — Cybersecurity Governance</w:t>
            </w:r>
          </w:p>
        </w:tc>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21</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E8449"/>
                <w:sz w:val="22"/>
                <w:szCs w:val="22"/>
              </w:rPr>
              <w:t xml:space="preserve">6</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E67E22"/>
                <w:sz w:val="22"/>
                <w:szCs w:val="22"/>
              </w:rPr>
              <w:t xml:space="preserve">10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C0392B"/>
                <w:sz w:val="22"/>
                <w:szCs w:val="22"/>
              </w:rPr>
              <w:t xml:space="preserve">5</w:t>
            </w:r>
          </w:p>
        </w:tc>
        <w:tc>
          <w:tcPr>
            <w:tcW w:type="dxa" w:w="1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 — Cybersecurity Risk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12</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E8449"/>
                <w:sz w:val="22"/>
                <w:szCs w:val="22"/>
              </w:rPr>
              <w:t xml:space="preserve">4</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E67E22"/>
                <w:sz w:val="22"/>
                <w:szCs w:val="22"/>
              </w:rPr>
              <w:t xml:space="preserve">5</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C0392B"/>
                <w:sz w:val="22"/>
                <w:szCs w:val="22"/>
              </w:rPr>
              <w:t xml:space="preserve">3</w:t>
            </w:r>
          </w:p>
        </w:tc>
        <w:tc>
          <w:tcPr>
            <w:tcW w:type="dxa" w:w="1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33%</w:t>
            </w:r>
          </w:p>
        </w:tc>
      </w:tr>
      <w:tr>
        <w:tc>
          <w:tcPr>
            <w:tcW w:type="dxa" w:w="3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 — Cybersecurity Operations</w:t>
            </w:r>
          </w:p>
        </w:tc>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55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E8449"/>
                <w:sz w:val="22"/>
                <w:szCs w:val="22"/>
              </w:rPr>
              <w:t xml:space="preserve">27</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E67E22"/>
                <w:sz w:val="22"/>
                <w:szCs w:val="22"/>
              </w:rPr>
              <w:t xml:space="preserve">20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C0392B"/>
                <w:sz w:val="22"/>
                <w:szCs w:val="22"/>
              </w:rPr>
              <w:t xml:space="preserve">8</w:t>
            </w:r>
          </w:p>
        </w:tc>
        <w:tc>
          <w:tcPr>
            <w:tcW w:type="dxa" w:w="1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49%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4 — Third-Party &amp; Cloud Cybersecurity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16</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E8449"/>
                <w:sz w:val="22"/>
                <w:szCs w:val="22"/>
              </w:rPr>
              <w:t xml:space="preserve">4</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E67E22"/>
                <w:sz w:val="22"/>
                <w:szCs w:val="22"/>
              </w:rPr>
              <w:t xml:space="preserve">8</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C0392B"/>
                <w:sz w:val="22"/>
                <w:szCs w:val="22"/>
              </w:rPr>
              <w:t xml:space="preserve">4</w:t>
            </w:r>
          </w:p>
        </w:tc>
        <w:tc>
          <w:tcPr>
            <w:tcW w:type="dxa" w:w="1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25%</w:t>
            </w:r>
          </w:p>
        </w:tc>
      </w:tr>
      <w:tr>
        <w:tc>
          <w:tcPr>
            <w:tcW w:type="dxa" w:w="3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5 — ICS Cybersecurity (N/A)</w:t>
            </w:r>
          </w:p>
        </w:tc>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10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E8449"/>
                <w:sz w:val="22"/>
                <w:szCs w:val="22"/>
              </w:rPr>
              <w:t xml:space="preserve">0</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E67E22"/>
                <w:sz w:val="22"/>
                <w:szCs w:val="22"/>
              </w:rPr>
              <w:t xml:space="preserve">0</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C0392B"/>
                <w:sz w:val="22"/>
                <w:szCs w:val="22"/>
              </w:rPr>
              <w:t xml:space="preserve">0</w:t>
            </w:r>
          </w:p>
        </w:tc>
        <w:tc>
          <w:tcPr>
            <w:tcW w:type="dxa" w:w="1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N/A</w:t>
            </w:r>
          </w:p>
        </w:tc>
      </w:tr>
      <w:tr>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A1A1A"/>
                <w:sz w:val="22"/>
                <w:szCs w:val="22"/>
              </w:rPr>
              <w:t xml:space="preserve">TOTAL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A1A1A"/>
                <w:sz w:val="22"/>
                <w:szCs w:val="22"/>
              </w:rPr>
              <w:t xml:space="preserve">114</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E8449"/>
                <w:sz w:val="22"/>
                <w:szCs w:val="22"/>
              </w:rPr>
              <w:t xml:space="preserve">41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E67E22"/>
                <w:sz w:val="22"/>
                <w:szCs w:val="22"/>
              </w:rPr>
              <w:t xml:space="preserve">43</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C0392B"/>
                <w:sz w:val="22"/>
                <w:szCs w:val="22"/>
              </w:rPr>
              <w:t xml:space="preserve">20</w:t>
            </w:r>
          </w:p>
        </w:tc>
        <w:tc>
          <w:tcPr>
            <w:tcW w:type="dxa" w:w="194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A1A1A"/>
                <w:sz w:val="22"/>
                <w:szCs w:val="22"/>
              </w:rPr>
              <w:t xml:space="preserve">36%</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weakest domains are Governance (29%) and Third-Party &amp; Cloud (25%), both of which reflect a complete absence of foundational cybersecurity management structures. Operations performs better (49%) because basic infrastructure controls — antivirus deployment, on-site backup, physical access to the data centre — are in place, even where they are poorly governed. Domain 5 (ICS) was found not applicable; Rawabi does not operate dedicated industrial control systems, though the potential for connected medical device networks should be reviewed as the organisation grows.</w:t>
      </w:r>
    </w:p>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4.   Detailed Findings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following eight findings were identified during the audit. Findings are presented in order of severity. For each finding, the relevant ECC control references, auditor observations, assessed impact, and recommended corrective actions are documented.</w:t>
      </w:r>
    </w:p>
    <w:p>
      <w:pPr>
        <w:spacing w:after="12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F-001  </w:t>
            </w:r>
            <w:r>
              <w:rPr>
                <w:rFonts w:ascii="Arial" w:cs="Arial" w:eastAsia="Arial" w:hAnsi="Arial"/>
                <w:b/>
                <w:bCs/>
                <w:color w:val="FFFFFF"/>
                <w:sz w:val="22"/>
                <w:szCs w:val="22"/>
              </w:rPr>
              <w:t xml:space="preserve">No Cybersecurity Strategy or Governance Framework</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1-1-1, 1-1-2</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organisations to define and approve a cybersecurity strategy aligned with organisational objectives (1-1-1) and to establish cybersecurity governance with defined roles and responsibilities (1-1-2). These controls form the foundational layer of any cybersecurity programme.</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cybersecurity strategy document exists within Rawabi Health Services. The organisation has no formally defined cybersecurity governance structure, no documented cybersecurity roles or responsibilities, and no designated accountability for cybersecurity at executive level. The IT Manager confirmed during interview that cybersecurity decisions are made on an ad hoc basis without reference to any framework or policy. No information security policy has been approved or communicated to staff. The Chief Operations Officer confirmed awareness of ECC obligations but stated that no formal programme has been initiated.</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In the absence of a cybersecurity strategy, the organisation has no basis for prioritising or funding cybersecurity controls. All downstream domains — risk management, incident response, third-party security, and operational controls — operate without governance oversight. This finding directly contributed to the organisation's current exposure across all other findings identified in this report. The absence of defined cybersecurity roles means there is no accountable owner for the significant data protection obligations imposed by the PDPL, compounding the regulatory risk.</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Appoint a cybersecurity lead with defined authority and accountability — given current size, this may be an enhanced mandate for the IT Manager pending CISO recruitment. Draft and obtain executive approval for an Information Security Policy covering scope, objectives, and control obligations. Develop a cybersecurity strategy document aligned with NCA ECC-1:2018 requirements. Establish a quarterly governance review mechanism. Target completion: Phase 2 (February – April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F-002  </w:t>
            </w:r>
            <w:r>
              <w:rPr>
                <w:rFonts w:ascii="Arial" w:cs="Arial" w:eastAsia="Arial" w:hAnsi="Arial"/>
                <w:b/>
                <w:bCs/>
                <w:color w:val="FFFFFF"/>
                <w:sz w:val="22"/>
                <w:szCs w:val="22"/>
              </w:rPr>
              <w:t xml:space="preserve">No Cybersecurity Risk Assessment Process</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1-2-1, 1-2-2</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organisations to define a cybersecurity risk assessment methodology (1-2-1) and to conduct and document a formal cybersecurity risk assessment (1-2-2). Risk assessment is the mechanism by which an organisation identifies threats, evaluates vulnerabilities, and justifies its control investment decisions.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cybersecurity risk assessment has ever been conducted at Rawabi Health Services. No risk methodology is documented. The IT Manager confirmed that system risks are identified reactively — typically following an operational incident or vendor advisory — with no structured assessment, scoring, or tracking process. No risk register exists. The organisation has no visibility into its aggregate risk exposure across its clinical systems, patient data holdings, or third-party relationships. Given the sensitivity of health data processed — explicitly classified as sensitive personal data under PDPL Article 23 — this absence represents a material control failure.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Without a risk assessment, the organisation cannot demonstrate that its current controls are proportionate to the risks it faces, nor can it satisfy NCA ECC or PDPL requirements for evidence-based control selection. This gap directly underpins the severity of F-003 (Napas vendor access) and F-004 (flat network): both represent risks that a formal assessment would have identified and prioritised for treatment. The absence of a risk register also prevents the organisation from tracking and monitoring residual risk over time.</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Adopt a risk assessment methodology based on Likelihood × Impact scoring (1–5 scale) consistent with NCA ECC guidance. Conduct an initial risk assessment covering all critical systems: Napas HIS, Agfa PACS, SAP Business One, Active Directory, and Microsoft 365. Establish a risk register and assign owners for each identified risk. Schedule risk assessment reviews at least annually and upon significant system or organisational change. Target completion: Phase 2 (February – April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F-003  </w:t>
            </w:r>
            <w:r>
              <w:rPr>
                <w:rFonts w:ascii="Arial" w:cs="Arial" w:eastAsia="Arial" w:hAnsi="Arial"/>
                <w:b/>
                <w:bCs/>
                <w:color w:val="FFFFFF"/>
                <w:sz w:val="22"/>
                <w:szCs w:val="22"/>
              </w:rPr>
              <w:t xml:space="preserve">Napas Vendor Remote Access Uncontrolled — LIVE RISK</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2-3-1, 2-3-2, 4-2-2, 4-2-3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third-party cybersecurity requirements be defined and contractually embedded (2-3-1, 2-3-2) and that third-party access be limited to what is operationally necessary and monitored (4-2-2, 4-2-3). The Napas HIS support vendor is one of Rawabi's highest-risk third parties by virtue of its direct remote access to the live production system containing all patient clinical records.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The Napas HIS vendor is granted persistent remote access to the production Napas HIS environment for the purpose of system support and maintenance. During the system walkthrough, the auditor confirmed that: (1) the vendor accesses the HIS using a shared administrative credential, the password of which has not been rotated in over 18 months; (2) no session logging or monitoring of vendor remote access activity is in place; (3) the vendor access connection is made directly over the internet without use of a VPN or jump server; (4) the Napas support contract contains no data protection clause, no breach notification obligation on the vendor, and no right-to-audit clause; (5) no NDA or security agreement has been executed with the Napas vendor. This constitutes an uncontrolled pathway into the most sensitive system in Rawabi's environment. Risk score: L5 × I5 = 25 — Critical, immediate action required.</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An unmonitored, credential-shared remote access pathway into the production HIS represents an active and exploitable attack vector. Patient health records for all registered patients across Jeddah and Medina sites are accessible through this pathway. A compromise of vendor credentials — whether through phishing, credential stuffing, or insider action at the vendor — would result in immediate, undetected access to sensitive personal health data. The absence of logging means any historical access or exfiltration cannot be detected or investigated. This risk is further compounded by the flat network (F-004), which means a compromise of the Napas HIS pathway provides lateral movement access to all other systems on the same broadcast domain.</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Immediate actions (Phase 1 — December 2024 to January 2025): (1) Rotate the shared Napas HIS administrative credential immediately; (2) implement a dedicated VPN tunnel or jump server for all Napas vendor remote sessions; (3) enable session recording and logging for all vendor access; (4) require individual named vendor accounts rather than a shared credential; (5) issue a data protection addendum to the Napas support contract pending full contract renegotiation. Medium-term: conduct a vendor security assessment of Napas; execute a formal NDA and security agreement; include right-to-audit clause in renewed contract.</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F-004  </w:t>
            </w:r>
            <w:r>
              <w:rPr>
                <w:rFonts w:ascii="Arial" w:cs="Arial" w:eastAsia="Arial" w:hAnsi="Arial"/>
                <w:b/>
                <w:bCs/>
                <w:color w:val="FFFFFF"/>
                <w:sz w:val="22"/>
                <w:szCs w:val="22"/>
              </w:rPr>
              <w:t xml:space="preserve">No Network Segmentation — Flat Network Architecture</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3-1-1, 3-1-2, 3-1-3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F-004</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network security architecture be documented (3-1-1), that network segmentation be implemented to isolate sensitive systems (3-1-2), and that firewall rules be defined and maintained (3-1-3). Segmentation is a foundational control that limits the blast radius of any successful attack by preventing lateral movement between system zones.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Rawabi operates a single flat network across both its Jeddah HQ site and Medina branch. The auditor confirmed during the network walkthrough that the Napas HIS servers, Agfa PACS storage nodes, SAP Business One server, clinical workstations, administrative workstations, and staff personal devices are all resident on the same Layer 2 broadcast domain with no VLAN segmentation or firewall-enforced zone boundaries. No network diagram exists. The perimeter firewall provides internet boundary protection, but no internal segmentation controls are in place. A device on the administrative network can communicate directly with the Napas HIS database server without traversing any access control boundary.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The flat network architecture means that any compromised device — whether a clinical workstation, an administrative endpoint, or the Napas vendor's remote access session — has unrestricted lateral movement capability across the entire environment. In a ransomware scenario, this architecture enables rapid propagation from a single infected endpoint to all clinical systems simultaneously, including the Napas HIS patient database and Agfa PACS imaging archive. The combination of F-003 (uncontrolled vendor access) and this finding means that a compromise of the vendor's access credentials would provide immediate, unrestricted access to every system in Rawabi's environment.</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Design and implement a network segmentation architecture with at minimum four zones: (1) Clinical Systems Zone — Napas HIS and Meditech LIS; (2) Imaging Zone — Agfa PACS; (3) Administrative Zone — SAP Business One and user endpoints; (4) Management Zone — servers and infrastructure. Implement inter-zone firewall rules on a default-deny basis. Produce and maintain a network architecture diagram. Conduct firewall rule review quarterly. This is a medium-term remediation requiring phased implementation to avoid clinical service disruption; target design completion: Phase 2 (February – April 2025), implementation: Phase 3 (May – July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F-005  </w:t>
            </w:r>
            <w:r>
              <w:rPr>
                <w:rFonts w:ascii="Arial" w:cs="Arial" w:eastAsia="Arial" w:hAnsi="Arial"/>
                <w:b/>
                <w:bCs/>
                <w:color w:val="FFFFFF"/>
                <w:sz w:val="22"/>
                <w:szCs w:val="22"/>
              </w:rPr>
              <w:t xml:space="preserve">No Cybersecurity Incident Response Procedure</w:t>
            </w:r>
          </w:p>
        </w:tc>
        <w:tc>
          <w:tcPr>
            <w:tcW w:type="dxa" w:w="20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1-4-1, 1-4-2, 1-4-3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an incident response policy be defined (1-4-1), that incident response procedures be documented and tested (1-4-2), and that an incident response team with defined roles be established (1-4-3). Effective incident response capability limits the duration and impact of security incidents, including personal data breaches.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incident response policy or procedure exists at Rawabi Health Services. The IT Manager confirmed that in the event of a security incident, actions would be determined reactively based on the judgment of the IT team at the time, without reference to any documented procedure. No incident response team has been designated. No contact list for escalation to NCA or SDAIA has been prepared. Critically, the organisation is unaware of the 72-hour breach notification obligation to SDAIA under PDPL Article 20. No tabletop exercise or simulation has been conducted. A review of IT records identified two prior incidents — a ransomware attempt on an administrative workstation in March 2024 and an unplanned Napas HIS outage in July 2024 — neither of which was formally documented or reviewed post-resolution.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Without an incident response capability, Rawabi cannot detect, contain, or recover from cybersecurity incidents in a controlled or timely manner. In the context of a health data breach — which given the current control environment is a plausible scenario — the absence of a breach notification procedure means the organisation would likely fail to meet the 72-hour SDAIA notification obligation under the PDPL, exposing it to regulatory enforcement action in addition to the underlying breach consequences. The two undocumented prior incidents suggest the organisation is already experiencing cybersecurity events without the capacity to manage them effectively.</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Develop and approve a Cybersecurity Incident Response Plan covering: incident classification matrix; roles and responsibilities for response, communication, and escalation; specific playbooks for malware, data breach, and system outage scenarios; SDAIA breach notification procedure and contact information. Designate an incident response team and conduct an initial tabletop exercise within 90 days of plan approval. Ensure all prior incidents are retrospectively documented. Target completion: Phase 2 (February – April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F-006  </w:t>
            </w:r>
            <w:r>
              <w:rPr>
                <w:rFonts w:ascii="Arial" w:cs="Arial" w:eastAsia="Arial" w:hAnsi="Arial"/>
                <w:b/>
                <w:bCs/>
                <w:color w:val="FFFFFF"/>
                <w:sz w:val="22"/>
                <w:szCs w:val="22"/>
              </w:rPr>
              <w:t xml:space="preserve">No Security Awareness Training Programme</w:t>
            </w:r>
          </w:p>
        </w:tc>
        <w:tc>
          <w:tcPr>
            <w:tcW w:type="dxa" w:w="20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1-3-1</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F-006</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a cybersecurity awareness programme be implemented covering all staff (1-3-1). Security awareness is the primary control for mitigating human-layer threats, including phishing — the leading initial access vector for ransomware and credential theft campaigns.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formal security awareness training programme has been delivered to Rawabi staff. The IT Manager confirmed that no training covering cybersecurity, data handling, or PDPL obligations has been provided to clinical or administrative staff at any point. Staff at the Jeddah and Medina sites handle sensitive patient health data daily — including entering records into Napas HIS, processing insurance claims with Bupa Arabia, and submitting clinical data to the Nphies platform — without any formal instruction on data handling requirements, phishing recognition, or password security. No phishing simulation has been conducted.</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Staff handling sensitive health data without security awareness training represent a significant human-layer vulnerability. Phishing is the most common initial vector for ransomware campaigns targeting healthcare organisations. An untrained workforce is significantly more susceptible to credential theft, accidental data disclosure, and social engineering attacks. The absence of PDPL-specific training means staff are unaware of their obligations when handling patient data, increasing the risk of inadvertent breaches through improper data sharing, loss of physical records, or inappropriate system access.</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Develop and deploy a mandatory security awareness programme covering: cybersecurity fundamentals (phishing, password security, device security); data handling obligations for patient health data; PDPL obligations including consent, data subject rights, and breach reporting; acceptable use of systems including Microsoft 365 and Napas HIS. Deliver initial training to all staff within 60 days. Conduct annual refresher training and introduce phishing simulations within the first year. Target completion: Phase 2 (February – April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F-007  </w:t>
            </w:r>
            <w:r>
              <w:rPr>
                <w:rFonts w:ascii="Arial" w:cs="Arial" w:eastAsia="Arial" w:hAnsi="Arial"/>
                <w:b/>
                <w:bCs/>
                <w:color w:val="FFFFFF"/>
                <w:sz w:val="22"/>
                <w:szCs w:val="22"/>
              </w:rPr>
              <w:t xml:space="preserve">Vulnerability Management Absent — No Patching Schedule</w:t>
            </w:r>
          </w:p>
        </w:tc>
        <w:tc>
          <w:tcPr>
            <w:tcW w:type="dxa" w:w="20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2-2-1, 2-2-2, 2-2-3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F-007</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a vulnerability management programme be established (2-2-1), that vulnerability scanning be conducted regularly (2-2-2), and that a patch management process be defined and followed (2-2-3). Unpatched systems are among the most frequently exploited attack surfaces in healthcare environments.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No vulnerability management programme or patch management policy exists at Rawabi. The IT Manager confirmed that software updates are applied reactively, typically when a system fault or vendor advisory is received, rather than on a defined schedule. During the endpoint walkthrough, the auditor observed that 41 of the 180 Windows endpoints (approximately 23%) were running Windows 10 builds from 2021, representing a cumulative patch backlog of over three years of security updates. Antivirus definition files on 23% of endpoints were found to be outdated by more than 30 days at the time of inspection. No vulnerability scanning tool is deployed. The Napas HIS server OS version was confirmed as Windows Server 2016 with no patch validation record available.</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Unpatched systems are a primary exploitation vector. The Windows 10 endpoints with 2021 builds are exposed to hundreds of published CVEs, many of which have public exploits available. In a healthcare environment where endpoints connect to clinical systems such as Napas HIS, a single compromised endpoint — whether through an unpatched vulnerability or phishing — can serve as a lateral movement pivot across the flat network (F-004) to reach clinical data. The absence of any scanning or monitoring means vulnerabilities may persist indefinitely without detection.</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Establish a patch management policy defining patching cadence: critical patches within 14 days of release, high within 30 days, standard within 60 days. Deploy a vulnerability scanning solution — options include open-source tools such as OpenVAS or commercial solutions — and conduct an initial baseline scan of all endpoints and servers. Prioritise remediation of the 41 endpoints with the oldest build levels. Validate Napas HIS patching approach with the vendor (patch scheduling must account for HIS availability requirements). Target completion: Phase 2 (February 2025) for policy; Phase 3 (May 2025) for scanning implementation.</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F-008  </w:t>
            </w:r>
            <w:r>
              <w:rPr>
                <w:rFonts w:ascii="Arial" w:cs="Arial" w:eastAsia="Arial" w:hAnsi="Arial"/>
                <w:b/>
                <w:bCs/>
                <w:color w:val="FFFFFF"/>
                <w:sz w:val="22"/>
                <w:szCs w:val="22"/>
              </w:rPr>
              <w:t xml:space="preserve">No Backup Integrity Testing or Offsite Recovery Capability</w:t>
            </w:r>
          </w:p>
        </w:tc>
        <w:tc>
          <w:tcPr>
            <w:tcW w:type="dxa" w:w="2000"/>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MEDIUM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ECC Control(s)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 1-5-1, 1-5-2</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F-008</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ECC-1:2018 requires that a business continuity plan be documented (1-5-1) and that a disaster recovery plan be documented and tested (1-5-2). For a healthcare provider, the availability of clinical systems — particularly the HIS and PACS — is critical to patient care continuity.</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Rawabi operates an on-site tape backup system performing weekly full backups and daily incremental backups of Napas HIS and SAP Business One data. No offsite or cloud backup copy exists for any system. Agfa PACS DICOM imaging data is not included in the current backup schedule, confirmed by the IT Manager during interview. No formal backup integrity test — including a restore-to-test-environment verification — has been conducted in the current financial year. The IT Manager confirmed the last known restore test was performed over two years ago on a different system configuration. No business continuity plan or disaster recovery plan is documented.</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Impact</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The absence of tested backup integrity means the organisation cannot confirm that its backup data is recoverable in the event of a primary system failure or ransomware encryption event. In a ransomware scenario — which is a plausible threat given the absence of network segmentation (F-004) and vulnerability management (F-007) — the organisation would have no verified recovery path for patient records. The exclusion of Agfa PACS from backup coverage means diagnostic imaging data could be permanently lost in a disaster event. The absence of an offsite copy means a physical disaster at the Jeddah data centre would result in total data loss.</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Immediately include Agfa PACS DICOM data in the backup schedule. Conduct a documented restore test for Napas HIS backup data within 30 days. Implement an offsite backup mechanism — either tape rotation to a secondary site or cloud backup to a KSA-region cloud storage service to maintain data residency compliance. Establish a backup testing schedule with quarterly restore validation. Document RTO and RPO targets for all critical systems (Napas HIS, Agfa PACS, SAP B1). Target completion: Phase 1 (December 2024 – January 2025) for immediate gaps; Phase 2 (April 2025) for full policy and offsite implementation.</w:t>
            </w:r>
          </w:p>
        </w:tc>
      </w:tr>
    </w:tbl>
    <w:p>
      <w:pPr>
        <w:spacing w:after="160"/>
      </w:pPr>
      <w:r>
        <w:rPr>
          <w:rFonts w:ascii="Arial" w:cs="Arial" w:eastAsia="Arial" w:hAnsi="Arial"/>
          <w:color w:val="1A1A1A"/>
          <w:sz w:val="22"/>
          <w:szCs w:val="22"/>
        </w:rPr>
        <w:t xml:space="preserve"/>
      </w:r>
    </w:p>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5.   Positive Observations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following areas of conformance were noted during the audit and represent a foundation on which further controls can be built:</w:t>
      </w:r>
    </w:p>
    <w:p>
      <w:pPr>
        <w:pStyle w:val="ListParagraph"/>
        <w:numPr>
          <w:ilvl w:val="0"/>
          <w:numId w:val="2"/>
        </w:numPr>
        <w:spacing w:after="60"/>
      </w:pPr>
      <w:r>
        <w:rPr>
          <w:rFonts w:ascii="Arial" w:cs="Arial" w:eastAsia="Arial" w:hAnsi="Arial"/>
          <w:color w:val="1A1A1A"/>
          <w:sz w:val="22"/>
          <w:szCs w:val="22"/>
        </w:rPr>
        <w:t xml:space="preserve">Antivirus deployment — antivirus software is deployed across all 180 Windows endpoints, providing a baseline malware detection capability, despite the definition update gaps noted in F-007</w:t>
      </w:r>
    </w:p>
    <w:p>
      <w:pPr>
        <w:pStyle w:val="ListParagraph"/>
        <w:numPr>
          <w:ilvl w:val="0"/>
          <w:numId w:val="2"/>
        </w:numPr>
        <w:spacing w:after="60"/>
      </w:pPr>
      <w:r>
        <w:rPr>
          <w:rFonts w:ascii="Arial" w:cs="Arial" w:eastAsia="Arial" w:hAnsi="Arial"/>
          <w:color w:val="1A1A1A"/>
          <w:sz w:val="22"/>
          <w:szCs w:val="22"/>
        </w:rPr>
        <w:t xml:space="preserve">Physical data centre access controls — the Jeddah data centre is protected by keycard access, and access is restricted to IT staff only; a physical visitor log is maintained, satisfying the intent of ECC-1: 3-7-1 and 3-7-3</w:t>
      </w:r>
    </w:p>
    <w:p>
      <w:pPr>
        <w:pStyle w:val="ListParagraph"/>
        <w:numPr>
          <w:ilvl w:val="0"/>
          <w:numId w:val="2"/>
        </w:numPr>
        <w:spacing w:after="60"/>
      </w:pPr>
      <w:r>
        <w:rPr>
          <w:rFonts w:ascii="Arial" w:cs="Arial" w:eastAsia="Arial" w:hAnsi="Arial"/>
          <w:color w:val="1A1A1A"/>
          <w:sz w:val="22"/>
          <w:szCs w:val="22"/>
        </w:rPr>
        <w:t xml:space="preserve">On-site backup operations — daily incremental and weekly full backups are executed consistently for Napas HIS and SAP Business One, establishing a backup habit that requires strengthening rather than creation from scratch</w:t>
      </w:r>
    </w:p>
    <w:p>
      <w:pPr>
        <w:pStyle w:val="ListParagraph"/>
        <w:numPr>
          <w:ilvl w:val="0"/>
          <w:numId w:val="2"/>
        </w:numPr>
        <w:spacing w:after="60"/>
      </w:pPr>
      <w:r>
        <w:rPr>
          <w:rFonts w:ascii="Arial" w:cs="Arial" w:eastAsia="Arial" w:hAnsi="Arial"/>
          <w:color w:val="1A1A1A"/>
          <w:sz w:val="22"/>
          <w:szCs w:val="22"/>
        </w:rPr>
        <w:t xml:space="preserve">Microsoft 365 deployment — the organisation uses Microsoft 365 for email and collaboration, which provides access to a range of built-in security controls (Defender, Conditional Access, Audit Logging) that can be activated to improve the security posture without additional licensing cost</w:t>
      </w:r>
    </w:p>
    <w:p>
      <w:pPr>
        <w:pStyle w:val="ListParagraph"/>
        <w:numPr>
          <w:ilvl w:val="0"/>
          <w:numId w:val="2"/>
        </w:numPr>
        <w:spacing w:after="60"/>
      </w:pPr>
      <w:r>
        <w:rPr>
          <w:rFonts w:ascii="Arial" w:cs="Arial" w:eastAsia="Arial" w:hAnsi="Arial"/>
          <w:color w:val="1A1A1A"/>
          <w:sz w:val="22"/>
          <w:szCs w:val="22"/>
        </w:rPr>
        <w:t xml:space="preserve">Segregation of financial and clinical systems — SAP Business One and Napas HIS are separate systems, providing an application-layer separation between financial and clinical data even in the absence of network segmentation</w:t>
      </w:r>
    </w:p>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6.   Recommended Remediation Roadmap</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following phased remediation roadmap is recommended. Full details of all 32 corrective actions are provided in the Corrective Action Plan (RCA-P4-006).</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7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Period</w:t>
            </w:r>
          </w:p>
        </w:tc>
        <w:tc>
          <w:tcPr>
            <w:tcW w:type="dxa" w:w="57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pPr>
            <w:r>
              <w:rPr>
                <w:rFonts w:ascii="Arial" w:cs="Arial" w:eastAsia="Arial" w:hAnsi="Arial"/>
                <w:b/>
                <w:bCs/>
                <w:color w:val="FFFFFF"/>
                <w:sz w:val="22"/>
                <w:szCs w:val="22"/>
              </w:rPr>
              <w:t xml:space="preserve">Priority Actions</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Phase 1 — Critical</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Dec 2024 – Jan 2025</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Rotate Napas vendor credentials; implement vendor VPN/jump server; enable vendor session logging; issue data protection addendum to Napas contract; include Agfa PACS in backup schedule; conduct Napas HIS restore 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Phase 2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Feb – Apr 2025</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Appoint cybersecurity lead; draft and approve Information Security Policy; develop cybersecurity risk assessment and risk register; implement incident response plan; deploy security awareness training programme; establish patch management policy</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Phase 3 — Medium</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May – Jul 2025</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Design and begin network segmentation implementation; deploy vulnerability scanning; implement offsite backup; renegotiate Napas vendor contract with full security clauses; execute DPAs with Bupa Arabia and Nphies (see also PDPL report RCA-P4-004)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Phase 4 — Sustain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Aug – Oct 2025</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Complete network segmentation; establish quarterly governance review; implement phishing simulation programme; conduct second risk assessment cycle; schedule annual ECC compliance review</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7.   Audit Conclusion</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Rawabi Health Services Co. achieved an overall NCA ECC-1:2018 conformance of 36.0% at the time of this audit. While the organisation has functional IT infrastructure and basic operational controls in place, cybersecurity governance is entirely absent: there is no strategy, no risk assessment, no incident response capability, and no formal approach to third-party security. The Napas vendor remote access finding (F-003) constitutes a live, exploitable risk that requires immediate containment action independent of the broader remediation programme.</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Resolute Compliance Advisory LLP recommends that Rawabi's leadership treat the Phase 1 actions — particularly Napas vendor access controls and backup integrity — as immediate operational priorities, and that the Phase 2 governance build-out be initiated no later than February 2025. With committed remediation effort across all four phases, the organisation should be positioned to demonstrate materially improved ECC conformance within 12 months.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This report should be read in conjunction with the PDPL Compliance Audit Report (RCA-P4-004), which addresses the organisation's data protection obligations under the Saudi Personal Data Protection Law, and the Risk Register (RCA-P4-005), which provides a complete view of identified risks and their treatment priorities.</w:t>
      </w:r>
    </w:p>
    <w:p>
      <w:pPr>
        <w:spacing w:after="20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kay Shahbaaz  |  GRC Auditor  |  Resolute Compliance Advisory LLP</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1A"/>
                <w:sz w:val="22"/>
                <w:szCs w:val="22"/>
              </w:rPr>
              <w:t xml:space="preserve">RCA-P4-003  |  v1.0  |  CONFIDENTIAL</w:t>
            </w:r>
          </w:p>
        </w:tc>
      </w:tr>
    </w:tbl>
    <w:p>
      <w:pPr>
        <w:spacing w:after="160"/>
      </w:pPr>
      <w:r>
        <w:rPr>
          <w:rFonts w:ascii="Arial" w:cs="Arial" w:eastAsia="Arial" w:hAnsi="Arial"/>
          <w:color w:val="1A1A1A"/>
          <w:sz w:val="22"/>
          <w:szCs w:val="2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pBdr>
      <w:tabs>
        <w:tab w:val="center" w:pos="4873"/>
        <w:tab w:val="right" w:pos="9746"/>
      </w:tabs>
      <w:spacing w:after="0" w:before="80"/>
    </w:pPr>
    <w:r>
      <w:rPr>
        <w:rFonts w:ascii="Arial" w:cs="Arial" w:eastAsia="Arial" w:hAnsi="Arial"/>
        <w:color w:val="666666"/>
        <w:sz w:val="16"/>
        <w:szCs w:val="16"/>
      </w:rPr>
      <w:t xml:space="preserve">Resolute Compliance Advisory LLP</w:t>
    </w:r>
    <w:r>
      <w:rPr>
        <w:rFonts w:ascii="Arial" w:cs="Arial" w:eastAsia="Arial" w:hAnsi="Arial"/>
        <w:color w:val="1A1A1A"/>
        <w:sz w:val="16"/>
        <w:szCs w:val="16"/>
      </w:rPr>
      <w:t xml:space="preserve">	</w:t>
    </w:r>
    <w:r>
      <w:rPr>
        <w:rFonts w:ascii="Arial" w:cs="Arial" w:eastAsia="Arial" w:hAnsi="Arial"/>
        <w:color w:val="666666"/>
        <w:sz w:val="16"/>
        <w:szCs w:val="16"/>
      </w:rPr>
      <w:t xml:space="preserve">NCA ECC Audit Findings Report — Rawabi Health Services Co.</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200"/>
      <w:gridCol w:w="3546"/>
    </w:tblGrid>
    <w:tr>
      <w:tc>
        <w:tcPr>
          <w:tcW w:type="dxa" w:w="620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spacing w:after="0"/>
          </w:pPr>
          <w:r>
            <w:rPr>
              <w:rFonts w:ascii="Arial" w:cs="Arial" w:eastAsia="Arial" w:hAnsi="Arial"/>
              <w:b/>
              <w:bCs/>
              <w:color w:val="1B2A4A"/>
              <w:sz w:val="28"/>
              <w:szCs w:val="28"/>
            </w:rPr>
            <w:t xml:space="preserve">RESOLUTE</w:t>
          </w:r>
        </w:p>
        <w:p>
          <w:pPr>
            <w:spacing w:after="0"/>
          </w:pPr>
          <w:r>
            <w:rPr>
              <w:rFonts w:ascii="Arial" w:cs="Arial" w:eastAsia="Arial" w:hAnsi="Arial"/>
              <w:b/>
              <w:bCs/>
              <w:color w:val="C8A951"/>
              <w:sz w:val="18"/>
              <w:szCs w:val="18"/>
            </w:rPr>
            <w:t xml:space="preserve">COMPLIANCE ADVISORY  LLP</w:t>
          </w:r>
        </w:p>
        <w:p>
          <w:pPr>
            <w:spacing w:after="0"/>
          </w:pPr>
          <w:r>
            <w:rPr>
              <w:rFonts w:ascii="Arial" w:cs="Arial" w:eastAsia="Arial" w:hAnsi="Arial"/>
              <w:i/>
              <w:iCs/>
              <w:color w:val="666666"/>
              <w:sz w:val="16"/>
              <w:szCs w:val="16"/>
            </w:rPr>
            <w:t xml:space="preserve">Governance · Risk · Compliance</w:t>
          </w:r>
        </w:p>
      </w:tc>
      <w:tc>
        <w:tcPr>
          <w:tcW w:type="dxa" w:w="3546"/>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spacing w:after="0"/>
            <w:jc w:val="right"/>
          </w:pPr>
          <w:r>
            <w:rPr>
              <w:rFonts w:ascii="Arial" w:cs="Arial" w:eastAsia="Arial" w:hAnsi="Arial"/>
              <w:b/>
              <w:bCs/>
              <w:color w:val="C8A951"/>
              <w:sz w:val="18"/>
              <w:szCs w:val="18"/>
            </w:rPr>
            <w:t xml:space="preserve">CONFIDENTIAL</w:t>
          </w:r>
        </w:p>
        <w:p>
          <w:pPr>
            <w:spacing w:after="0"/>
            <w:jc w:val="right"/>
          </w:pPr>
          <w:r>
            <w:rPr>
              <w:rFonts w:ascii="Arial" w:cs="Arial" w:eastAsia="Arial" w:hAnsi="Arial"/>
              <w:color w:val="666666"/>
              <w:sz w:val="16"/>
              <w:szCs w:val="16"/>
            </w:rPr>
            <w:t xml:space="preserve">RCA-P4-003  ·  v1.0</w:t>
          </w:r>
        </w:p>
      </w:tc>
    </w:tr>
  </w:tbl>
  <w:p>
    <w:pPr>
      <w:pBdr>
        <w:bottom w:val="single" w:color="1B2A4A" w:sz="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2026-06-25T07:30:02.166Z</dcterms:created>
  <dcterms:modified xsi:type="dcterms:W3CDTF">2026-06-25T07:30:02.182Z</dcterms:modified>
</cp:coreProperties>
</file>

<file path=docProps/custom.xml><?xml version="1.0" encoding="utf-8"?>
<Properties xmlns="http://schemas.openxmlformats.org/officeDocument/2006/custom-properties" xmlns:vt="http://schemas.openxmlformats.org/officeDocument/2006/docPropsVTypes"/>
</file>