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left w:val="none"/>
          <w:bottom w:val="none"/>
          <w:right w:val="none"/>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1B2A4A" w:val="clear"/>
            <w:tcMar>
              <w:top w:type="dxa" w:w="280"/>
              <w:left w:type="dxa" w:w="360"/>
              <w:bottom w:type="dxa" w:w="280"/>
              <w:right w:type="dxa" w:w="360"/>
            </w:tcMar>
          </w:tcPr>
          <w:p>
            <w:pPr>
              <w:jc w:val="center"/>
            </w:pPr>
            <w:r>
              <w:rPr>
                <w:rFonts w:ascii="Arial" w:cs="Arial" w:eastAsia="Arial" w:hAnsi="Arial"/>
                <w:b/>
                <w:bCs/>
                <w:i w:val="false"/>
                <w:iCs w:val="false"/>
                <w:color w:val="FFFFFF"/>
                <w:sz w:val="28"/>
                <w:szCs w:val="28"/>
              </w:rPr>
              <w:t xml:space="preserve">RESOLUTE COMPLIANCE ADVISORY LLP</w:t>
            </w:r>
          </w:p>
          <w:p>
            <w:pPr>
              <w:jc w:val="center"/>
            </w:pPr>
            <w:r>
              <w:rPr>
                <w:rFonts w:ascii="Arial" w:cs="Arial" w:eastAsia="Arial" w:hAnsi="Arial"/>
                <w:b w:val="false"/>
                <w:bCs w:val="false"/>
                <w:i/>
                <w:iCs/>
                <w:color w:val="C8A951"/>
                <w:sz w:val="20"/>
                <w:szCs w:val="20"/>
              </w:rPr>
              <w:t xml:space="preserve">Governance · Risk · Compliance</w:t>
            </w:r>
          </w:p>
        </w:tc>
      </w:tr>
    </w:tbl>
    <w:p>
      <w:pPr>
        <w:spacing w:after="0" w:before="600"/>
      </w:pPr>
      <w:r>
        <w:t xml:space="preserve"/>
      </w:r>
    </w:p>
    <w:p>
      <w:pPr>
        <w:jc w:val="center"/>
      </w:pPr>
      <w:r>
        <w:rPr>
          <w:rFonts w:ascii="Arial" w:cs="Arial" w:eastAsia="Arial" w:hAnsi="Arial"/>
          <w:b/>
          <w:bCs/>
          <w:i w:val="false"/>
          <w:iCs w:val="false"/>
          <w:color w:val="C8A951"/>
          <w:sz w:val="22"/>
          <w:szCs w:val="22"/>
        </w:rPr>
        <w:t xml:space="preserve">EXECUTIVE SUMMARY</w:t>
      </w:r>
    </w:p>
    <w:p>
      <w:pPr>
        <w:spacing w:after="0" w:before="60"/>
      </w:pPr>
      <w:r>
        <w:t xml:space="preserve"/>
      </w:r>
    </w:p>
    <w:p>
      <w:pPr>
        <w:jc w:val="center"/>
      </w:pPr>
      <w:r>
        <w:rPr>
          <w:rFonts w:ascii="Arial" w:cs="Arial" w:eastAsia="Arial" w:hAnsi="Arial"/>
          <w:b/>
          <w:bCs/>
          <w:i w:val="false"/>
          <w:iCs w:val="false"/>
          <w:color w:val="1B2A4A"/>
          <w:sz w:val="36"/>
          <w:szCs w:val="36"/>
        </w:rPr>
        <w:t xml:space="preserve">NCA ECC-1:2018 + SAMA CSF</w:t>
      </w:r>
    </w:p>
    <w:p>
      <w:pPr>
        <w:jc w:val="center"/>
      </w:pPr>
      <w:r>
        <w:rPr>
          <w:rFonts w:ascii="Arial" w:cs="Arial" w:eastAsia="Arial" w:hAnsi="Arial"/>
          <w:b/>
          <w:bCs/>
          <w:i w:val="false"/>
          <w:iCs w:val="false"/>
          <w:color w:val="1B2A4A"/>
          <w:sz w:val="30"/>
          <w:szCs w:val="30"/>
        </w:rPr>
        <w:t xml:space="preserve">Compliance Audit</w:t>
      </w:r>
    </w:p>
    <w:p>
      <w:pPr>
        <w:spacing w:after="0" w:before="480"/>
      </w:pPr>
      <w:r>
        <w:t xml:space="preserve"/>
      </w:r>
    </w:p>
    <w:p>
      <w:pPr>
        <w:pBdr>
          <w:bottom w:val="single" w:color="C8A951" w:sz="8" w:space="1"/>
        </w:pBdr>
        <w:spacing w:after="0" w:before="0"/>
      </w:pPr>
      <w:r>
        <w:t xml:space="preserve"/>
      </w:r>
    </w:p>
    <w:p>
      <w:pPr>
        <w:spacing w:after="0" w:before="480"/>
      </w:pPr>
      <w:r>
        <w:t xml:space="preserve"/>
      </w:r>
    </w:p>
    <w:tbl>
      <w:tblPr>
        <w:tblW w:type="dxa" w:w="9746"/>
        <w:tblBorders>
          <w:top w:val="none"/>
          <w:left w:val="none"/>
          <w:bottom w:val="none"/>
          <w:right w:val="none"/>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EF1F7" w:val="clear"/>
            <w:tcMar>
              <w:top w:type="dxa" w:w="240"/>
              <w:left w:type="dxa" w:w="360"/>
              <w:bottom w:type="dxa" w:w="240"/>
              <w:right w:type="dxa" w:w="360"/>
            </w:tcMar>
          </w:tcPr>
          <w:p>
            <w:pPr>
              <w:jc w:val="center"/>
            </w:pPr>
            <w:r>
              <w:rPr>
                <w:rFonts w:ascii="Arial" w:cs="Arial" w:eastAsia="Arial" w:hAnsi="Arial"/>
                <w:b w:val="false"/>
                <w:bCs w:val="false"/>
                <w:i/>
                <w:iCs/>
                <w:color w:val="666666"/>
                <w:sz w:val="18"/>
                <w:szCs w:val="18"/>
              </w:rPr>
              <w:t xml:space="preserve">Prepared for</w:t>
            </w:r>
          </w:p>
          <w:p>
            <w:pPr>
              <w:spacing w:after="0" w:before="60"/>
            </w:pPr>
            <w:r>
              <w:t xml:space="preserve"/>
            </w:r>
          </w:p>
          <w:p>
            <w:pPr>
              <w:jc w:val="center"/>
            </w:pPr>
            <w:r>
              <w:rPr>
                <w:rFonts w:ascii="Arial" w:cs="Arial" w:eastAsia="Arial" w:hAnsi="Arial"/>
                <w:b/>
                <w:bCs/>
                <w:i w:val="false"/>
                <w:iCs w:val="false"/>
                <w:color w:val="1B2A4A"/>
                <w:sz w:val="32"/>
                <w:szCs w:val="32"/>
              </w:rPr>
              <w:t xml:space="preserve">Al Ameen Insurance Company</w:t>
            </w:r>
          </w:p>
          <w:p>
            <w:pPr>
              <w:jc w:val="center"/>
            </w:pPr>
            <w:r>
              <w:rPr>
                <w:rFonts w:ascii="Arial" w:cs="Arial" w:eastAsia="Arial" w:hAnsi="Arial"/>
                <w:b w:val="false"/>
                <w:bCs w:val="false"/>
                <w:i w:val="false"/>
                <w:iCs w:val="false"/>
                <w:color w:val="666666"/>
                <w:sz w:val="22"/>
                <w:szCs w:val="22"/>
              </w:rPr>
              <w:t xml:space="preserve">شركة الأمين للتأمين</w:t>
            </w:r>
          </w:p>
          <w:p>
            <w:pPr>
              <w:spacing w:after="0" w:before="60"/>
            </w:pPr>
            <w:r>
              <w:t xml:space="preserve"/>
            </w:r>
          </w:p>
          <w:p>
            <w:pPr>
              <w:jc w:val="center"/>
            </w:pPr>
            <w:r>
              <w:rPr>
                <w:rFonts w:ascii="Arial" w:cs="Arial" w:eastAsia="Arial" w:hAnsi="Arial"/>
                <w:b w:val="false"/>
                <w:bCs w:val="false"/>
                <w:i w:val="false"/>
                <w:iCs w:val="false"/>
                <w:color w:val="666666"/>
                <w:sz w:val="20"/>
                <w:szCs w:val="20"/>
              </w:rPr>
              <w:t xml:space="preserve">Insurance  ·  Riyadh, Saudi Arabia</w:t>
            </w:r>
          </w:p>
          <w:p>
            <w:pPr>
              <w:jc w:val="center"/>
            </w:pPr>
            <w:r>
              <w:rPr>
                <w:rFonts w:ascii="Arial" w:cs="Arial" w:eastAsia="Arial" w:hAnsi="Arial"/>
                <w:b w:val="false"/>
                <w:bCs w:val="false"/>
                <w:i w:val="false"/>
                <w:iCs w:val="false"/>
                <w:color w:val="666666"/>
                <w:sz w:val="20"/>
                <w:szCs w:val="20"/>
              </w:rPr>
              <w:t xml:space="preserve">Audit Period: 15 July 2024 – 31 October 2024</w:t>
            </w:r>
          </w:p>
        </w:tc>
      </w:tr>
    </w:tbl>
    <w:p>
      <w:pPr>
        <w:spacing w:after="0" w:before="480"/>
      </w:pPr>
      <w:r>
        <w:t xml:space="preserve"/>
      </w:r>
    </w:p>
    <w:tbl>
      <w:tblPr>
        <w:tblW w:type="dxa" w:w="9746"/>
        <w:tblBorders>
          <w:top w:val="none"/>
          <w:left w:val="none"/>
          <w:bottom w:val="none"/>
          <w:right w:val="none"/>
          <w:insideH w:val="single" w:color="auto" w:sz="4"/>
          <w:insideV w:val="single" w:color="auto" w:sz="4"/>
        </w:tblBorders>
      </w:tblPr>
      <w:tblGrid>
        <w:gridCol w:w="3248"/>
        <w:gridCol w:w="3249"/>
        <w:gridCol w:w="3249"/>
      </w:tblGrid>
      <w:tr>
        <w:tc>
          <w:tcPr>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b w:val="false"/>
                <w:bCs w:val="false"/>
                <w:i/>
                <w:iCs/>
                <w:color w:val="C8A951"/>
                <w:sz w:val="16"/>
                <w:szCs w:val="16"/>
              </w:rPr>
              <w:t xml:space="preserve">Prepared by</w:t>
            </w:r>
          </w:p>
          <w:p>
            <w:pPr>
              <w:jc w:val="center"/>
            </w:pPr>
            <w:r>
              <w:rPr>
                <w:rFonts w:ascii="Arial" w:cs="Arial" w:eastAsia="Arial" w:hAnsi="Arial"/>
                <w:b/>
                <w:bCs/>
                <w:i w:val="false"/>
                <w:iCs w:val="false"/>
                <w:color w:val="FFFFFF"/>
                <w:sz w:val="20"/>
                <w:szCs w:val="20"/>
              </w:rPr>
              <w:t xml:space="preserve">kay Shahbaaz</w:t>
            </w:r>
          </w:p>
          <w:p>
            <w:pPr>
              <w:jc w:val="center"/>
            </w:pPr>
            <w:r>
              <w:rPr>
                <w:rFonts w:ascii="Arial" w:cs="Arial" w:eastAsia="Arial" w:hAnsi="Arial"/>
                <w:b w:val="false"/>
                <w:bCs w:val="false"/>
                <w:i w:val="false"/>
                <w:iCs w:val="false"/>
                <w:color w:val="C8A951"/>
                <w:sz w:val="16"/>
                <w:szCs w:val="16"/>
              </w:rPr>
              <w:t xml:space="preserve">GRC Auditor</w:t>
            </w:r>
          </w:p>
        </w:tc>
        <w:tc>
          <w:tcPr>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b w:val="false"/>
                <w:bCs w:val="false"/>
                <w:i/>
                <w:iCs/>
                <w:color w:val="C8A951"/>
                <w:sz w:val="16"/>
                <w:szCs w:val="16"/>
              </w:rPr>
              <w:t xml:space="preserve">Date</w:t>
            </w:r>
          </w:p>
          <w:p>
            <w:pPr>
              <w:jc w:val="center"/>
            </w:pPr>
            <w:r>
              <w:rPr>
                <w:rFonts w:ascii="Arial" w:cs="Arial" w:eastAsia="Arial" w:hAnsi="Arial"/>
                <w:b/>
                <w:bCs/>
                <w:i w:val="false"/>
                <w:iCs w:val="false"/>
                <w:color w:val="FFFFFF"/>
                <w:sz w:val="20"/>
                <w:szCs w:val="20"/>
              </w:rPr>
              <w:t xml:space="preserve">31 October 2024</w:t>
            </w:r>
          </w:p>
        </w:tc>
        <w:tc>
          <w:tcPr>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b w:val="false"/>
                <w:bCs w:val="false"/>
                <w:i/>
                <w:iCs/>
                <w:color w:val="C8A951"/>
                <w:sz w:val="16"/>
                <w:szCs w:val="16"/>
              </w:rPr>
              <w:t xml:space="preserve">Document Ref</w:t>
            </w:r>
          </w:p>
          <w:p>
            <w:pPr>
              <w:jc w:val="center"/>
            </w:pPr>
            <w:r>
              <w:rPr>
                <w:rFonts w:ascii="Arial" w:cs="Arial" w:eastAsia="Arial" w:hAnsi="Arial"/>
                <w:b/>
                <w:bCs/>
                <w:i w:val="false"/>
                <w:iCs w:val="false"/>
                <w:color w:val="FFFFFF"/>
                <w:sz w:val="20"/>
                <w:szCs w:val="20"/>
              </w:rPr>
              <w:t xml:space="preserve">RCA-P3-006</w:t>
            </w:r>
          </w:p>
        </w:tc>
      </w:tr>
    </w:tbl>
    <w:p>
      <w:pPr>
        <w:spacing w:after="0" w:before="480"/>
      </w:pPr>
      <w:r>
        <w:t xml:space="preserve"/>
      </w:r>
    </w:p>
    <w:tbl>
      <w:tblPr>
        <w:tblW w:type="dxa" w:w="9746"/>
        <w:tblBorders>
          <w:top w:val="none"/>
          <w:left w:val="none"/>
          <w:bottom w:val="none"/>
          <w:right w:val="none"/>
          <w:insideH w:val="single" w:color="auto" w:sz="4"/>
          <w:insideV w:val="single" w:color="auto" w:sz="4"/>
        </w:tblBorders>
      </w:tblPr>
      <w:tblGrid>
        <w:gridCol w:w="9746"/>
      </w:tblGrid>
      <w:tr>
        <w:tc>
          <w:tcPr>
            <w:tcBorders>
              <w:top w:val="single" w:color="C8A951" w:sz="4"/>
              <w:left w:val="single" w:color="C8A951" w:sz="4"/>
              <w:bottom w:val="single" w:color="C8A951" w:sz="4"/>
              <w:right w:val="single" w:color="C8A951" w:sz="4"/>
            </w:tcBorders>
            <w:shd w:fill="EEF1F7" w:val="clear"/>
            <w:tcMar>
              <w:top w:type="dxa" w:w="160"/>
              <w:left w:type="dxa" w:w="240"/>
              <w:bottom w:type="dxa" w:w="160"/>
              <w:right w:type="dxa" w:w="240"/>
            </w:tcMar>
          </w:tcPr>
          <w:p>
            <w:pPr>
              <w:jc w:val="center"/>
            </w:pPr>
            <w:r>
              <w:rPr>
                <w:rFonts w:ascii="Arial" w:cs="Arial" w:eastAsia="Arial" w:hAnsi="Arial"/>
                <w:b/>
                <w:bCs/>
                <w:i w:val="false"/>
                <w:iCs w:val="false"/>
                <w:color w:val="1B2A4A"/>
                <w:sz w:val="18"/>
                <w:szCs w:val="18"/>
              </w:rPr>
              <w:t xml:space="preserve">CONFIDENTIALITY NOTICE</w:t>
            </w:r>
          </w:p>
          <w:p>
            <w:pPr>
              <w:spacing w:after="0" w:before="60"/>
            </w:pPr>
            <w:r>
              <w:t xml:space="preserve"/>
            </w:r>
          </w:p>
          <w:p>
            <w:pPr>
              <w:jc w:val="both"/>
            </w:pPr>
            <w:r>
              <w:rPr>
                <w:rFonts w:ascii="Arial" w:cs="Arial" w:eastAsia="Arial" w:hAnsi="Arial"/>
                <w:b w:val="false"/>
                <w:bCs w:val="false"/>
                <w:i/>
                <w:iCs/>
                <w:color w:val="666666"/>
                <w:sz w:val="18"/>
                <w:szCs w:val="18"/>
              </w:rPr>
              <w:t xml:space="preserve">This document is prepared exclusively for the Board of Directors and Senior Management of Al Ameen Insurance Company. It contains confidential audit findings and proprietary information belonging to Resolute Compliance Advisory LLP. It may not be disclosed, reproduced, or distributed without prior written consent.</w:t>
            </w:r>
          </w:p>
        </w:tc>
      </w:tr>
    </w:tbl>
    <w:p>
      <w:r>
        <w:br w:type="page"/>
      </w:r>
    </w:p>
    <w:p>
      <w:pPr>
        <w:pStyle w:val="Heading1"/>
        <w:pBdr>
          <w:bottom w:val="single" w:color="C8A951" w:sz="4" w:space="4"/>
        </w:pBdr>
        <w:spacing w:after="160" w:before="300"/>
      </w:pPr>
      <w:r>
        <w:rPr>
          <w:rFonts w:ascii="Arial" w:cs="Arial" w:eastAsia="Arial" w:hAnsi="Arial"/>
          <w:b/>
          <w:bCs/>
          <w:i w:val="false"/>
          <w:iCs w:val="false"/>
          <w:color w:val="1B2A4A"/>
          <w:sz w:val="26"/>
          <w:szCs w:val="26"/>
        </w:rPr>
        <w:t xml:space="preserve">Document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Document Title</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NCA ECC-1:2018 + SAMA CSF Compliance Audit — Executive Summary</w:t>
            </w:r>
          </w:p>
        </w:tc>
      </w:tr>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Document Ref</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RCA-P3-006</w:t>
            </w:r>
          </w:p>
        </w:tc>
      </w:tr>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Client</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Al Ameen Insurance Company</w:t>
            </w:r>
          </w:p>
        </w:tc>
      </w:tr>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Project</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NCA ECC-1:2018 + SAMA CSF Compliance Audit</w:t>
            </w:r>
          </w:p>
        </w:tc>
      </w:tr>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Prepared by</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kay Shahbaaz — GRC Auditor</w:t>
            </w:r>
          </w:p>
        </w:tc>
      </w:tr>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Reviewed by</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Resolute Compliance Advisory LLP</w:t>
            </w:r>
          </w:p>
        </w:tc>
      </w:tr>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Audit Period</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15 July 2024 – 31 October 2024</w:t>
            </w:r>
          </w:p>
        </w:tc>
      </w:tr>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Report Date</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31 October 2024</w:t>
            </w:r>
          </w:p>
        </w:tc>
      </w:tr>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Version</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v1.0</w:t>
            </w:r>
          </w:p>
        </w:tc>
      </w:tr>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Classification</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CONFIDENTIAL</w:t>
            </w:r>
          </w:p>
        </w:tc>
      </w:tr>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Audience</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Board of Directors and Senior Management — Al Ameen Insurance Company</w:t>
            </w:r>
          </w:p>
        </w:tc>
      </w:tr>
    </w:tbl>
    <w:p>
      <w:pPr>
        <w:spacing w:after="0" w:before="200"/>
      </w:pPr>
      <w:r>
        <w:t xml:space="preserve"/>
      </w:r>
    </w:p>
    <w:p>
      <w:r>
        <w:br w:type="page"/>
      </w:r>
    </w:p>
    <w:p>
      <w:pPr>
        <w:pStyle w:val="Heading1"/>
        <w:pBdr>
          <w:bottom w:val="single" w:color="C8A951" w:sz="4" w:space="4"/>
        </w:pBdr>
        <w:spacing w:after="160" w:before="300"/>
      </w:pPr>
      <w:r>
        <w:rPr>
          <w:rFonts w:ascii="Arial" w:cs="Arial" w:eastAsia="Arial" w:hAnsi="Arial"/>
          <w:b/>
          <w:bCs/>
          <w:i w:val="false"/>
          <w:iCs w:val="false"/>
          <w:color w:val="1B2A4A"/>
          <w:sz w:val="26"/>
          <w:szCs w:val="26"/>
        </w:rPr>
        <w:t xml:space="preserve">1.  Purpose and Audience</w:t>
      </w:r>
    </w:p>
    <w:p>
      <w:pPr>
        <w:spacing w:after="120" w:before="80"/>
        <w:jc w:val="both"/>
      </w:pPr>
      <w:r>
        <w:rPr>
          <w:rFonts w:ascii="Arial" w:cs="Arial" w:eastAsia="Arial" w:hAnsi="Arial"/>
          <w:b w:val="false"/>
          <w:bCs w:val="false"/>
          <w:i w:val="false"/>
          <w:iCs w:val="false"/>
          <w:color w:val="1A1A1A"/>
          <w:sz w:val="20"/>
          <w:szCs w:val="20"/>
        </w:rPr>
        <w:t xml:space="preserve">This Executive Summary is prepared for the Board of Directors and Senior Management of Al Ameen Insurance Company. It presents the headline findings, overall cybersecurity posture assessment, and priority actions arising from the independent compliance audit conducted by Resolute Compliance Advisory LLP against the NCA Essential Cybersecurity Controls (ECC-1:2018) and the SAMA Cybersecurity Framework (CSF).</w:t>
      </w:r>
    </w:p>
    <w:p>
      <w:pPr>
        <w:spacing w:after="120" w:before="80"/>
        <w:jc w:val="both"/>
      </w:pPr>
      <w:r>
        <w:rPr>
          <w:rFonts w:ascii="Arial" w:cs="Arial" w:eastAsia="Arial" w:hAnsi="Arial"/>
          <w:b w:val="false"/>
          <w:bCs w:val="false"/>
          <w:i w:val="false"/>
          <w:iCs w:val="false"/>
          <w:color w:val="1A1A1A"/>
          <w:sz w:val="20"/>
          <w:szCs w:val="20"/>
        </w:rPr>
        <w:t xml:space="preserve">The full audit findings, detailed evidence, root cause analysis, and technical recommendations are documented in the Audit Findings Report (RCA-P3-003). The Corrective Action Plan (RCA-P3-005) sets out the full 30-action remediation programme across four phases spanning November 2024 to October 2025. This summary is designed to provide Board and Senior Management with a clear and concise picture of the organisation's current cybersecurity posture and the decisions required to begin the remediation programme.</w:t>
      </w:r>
    </w:p>
    <w:p>
      <w:pPr>
        <w:spacing w:after="0" w:before="120"/>
      </w:pPr>
      <w:r>
        <w:t xml:space="preserve"/>
      </w:r>
    </w:p>
    <w:p>
      <w:pPr>
        <w:pStyle w:val="Heading1"/>
        <w:pBdr>
          <w:bottom w:val="single" w:color="C8A951" w:sz="4" w:space="4"/>
        </w:pBdr>
        <w:spacing w:after="160" w:before="300"/>
      </w:pPr>
      <w:r>
        <w:rPr>
          <w:rFonts w:ascii="Arial" w:cs="Arial" w:eastAsia="Arial" w:hAnsi="Arial"/>
          <w:b/>
          <w:bCs/>
          <w:i w:val="false"/>
          <w:iCs w:val="false"/>
          <w:color w:val="1B2A4A"/>
          <w:sz w:val="26"/>
          <w:szCs w:val="26"/>
        </w:rPr>
        <w:t xml:space="preserve">2.  Overall Cybersecurity Posture</w:t>
      </w:r>
    </w:p>
    <w:p>
      <w:pPr>
        <w:spacing w:after="120" w:before="80"/>
        <w:jc w:val="both"/>
      </w:pPr>
      <w:r>
        <w:rPr>
          <w:rFonts w:ascii="Arial" w:cs="Arial" w:eastAsia="Arial" w:hAnsi="Arial"/>
          <w:b w:val="false"/>
          <w:bCs w:val="false"/>
          <w:i w:val="false"/>
          <w:iCs w:val="false"/>
          <w:color w:val="1A1A1A"/>
          <w:sz w:val="20"/>
          <w:szCs w:val="20"/>
        </w:rPr>
        <w:t xml:space="preserve">The audit assessed Al Ameen Insurance Company against all 114 controls of NCA ECC-1:2018 and evaluated cybersecurity maturity across all four pillars of the SAMA Cybersecurity Framework. The results indicate a cybersecurity posture that is significantly below the requirements of both frameworks and below the standard expected of a SAMA-regulated insurance organisation operating at this scale.</w:t>
      </w:r>
    </w:p>
    <w:p>
      <w:pPr>
        <w:spacing w:after="0" w:befor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C8D4E4" w:sz="1"/>
              <w:left w:val="single" w:color="C8D4E4" w:sz="1"/>
              <w:bottom w:val="single" w:color="C8D4E4" w:sz="1"/>
              <w:right w:val="single" w:color="C8D4E4" w:sz="1"/>
            </w:tcBorders>
            <w:shd w:fill="1B2A4A" w:val="clear"/>
            <w:tcMar>
              <w:top w:type="dxa" w:w="160"/>
              <w:left w:type="dxa" w:w="200"/>
              <w:bottom w:type="dxa" w:w="40"/>
              <w:right w:type="dxa" w:w="200"/>
            </w:tcMar>
          </w:tcPr>
          <w:p>
            <w:pPr>
              <w:jc w:val="center"/>
            </w:pPr>
            <w:r>
              <w:rPr>
                <w:rFonts w:ascii="Arial" w:cs="Arial" w:eastAsia="Arial" w:hAnsi="Arial"/>
                <w:b/>
                <w:bCs/>
                <w:i w:val="false"/>
                <w:iCs w:val="false"/>
                <w:color w:val="C8A951"/>
                <w:sz w:val="20"/>
                <w:szCs w:val="20"/>
              </w:rPr>
              <w:t xml:space="preserve">NCA ECC-1:2018</w:t>
            </w:r>
          </w:p>
        </w:tc>
        <w:tc>
          <w:tcPr>
            <w:tcW w:type="dxa" w:w="4873"/>
            <w:tcBorders>
              <w:top w:val="single" w:color="C8D4E4" w:sz="1"/>
              <w:left w:val="single" w:color="C8D4E4" w:sz="1"/>
              <w:bottom w:val="single" w:color="C8D4E4" w:sz="1"/>
              <w:right w:val="single" w:color="C8D4E4" w:sz="1"/>
            </w:tcBorders>
            <w:shd w:fill="1B2A4A" w:val="clear"/>
            <w:tcMar>
              <w:top w:type="dxa" w:w="160"/>
              <w:left w:type="dxa" w:w="200"/>
              <w:bottom w:type="dxa" w:w="40"/>
              <w:right w:type="dxa" w:w="200"/>
            </w:tcMar>
          </w:tcPr>
          <w:p>
            <w:pPr>
              <w:jc w:val="center"/>
            </w:pPr>
            <w:r>
              <w:rPr>
                <w:rFonts w:ascii="Arial" w:cs="Arial" w:eastAsia="Arial" w:hAnsi="Arial"/>
                <w:b/>
                <w:bCs/>
                <w:i w:val="false"/>
                <w:iCs w:val="false"/>
                <w:color w:val="C8A951"/>
                <w:sz w:val="20"/>
                <w:szCs w:val="20"/>
              </w:rPr>
              <w:t xml:space="preserve">SAMA Cybersecurity Framework</w:t>
            </w:r>
          </w:p>
        </w:tc>
      </w:tr>
      <w:tr>
        <w:tc>
          <w:tcPr>
            <w:tcW w:type="dxa" w:w="4873"/>
            <w:tcBorders>
              <w:top w:val="single" w:color="C8D4E4" w:sz="1"/>
              <w:left w:val="single" w:color="C8D4E4" w:sz="1"/>
              <w:bottom w:val="single" w:color="C8D4E4" w:sz="1"/>
              <w:right w:val="single" w:color="C8D4E4" w:sz="1"/>
            </w:tcBorders>
            <w:shd w:fill="1B2A4A" w:val="clear"/>
            <w:tcMar>
              <w:top w:type="dxa" w:w="20"/>
              <w:left w:type="dxa" w:w="200"/>
              <w:bottom w:type="dxa" w:w="20"/>
              <w:right w:type="dxa" w:w="200"/>
            </w:tcMar>
          </w:tcPr>
          <w:p>
            <w:pPr>
              <w:jc w:val="center"/>
            </w:pPr>
            <w:r>
              <w:rPr>
                <w:rFonts w:ascii="Arial" w:cs="Arial" w:eastAsia="Arial" w:hAnsi="Arial"/>
                <w:b/>
                <w:bCs/>
                <w:i w:val="false"/>
                <w:iCs w:val="false"/>
                <w:color w:val="C00000"/>
                <w:sz w:val="60"/>
                <w:szCs w:val="60"/>
              </w:rPr>
              <w:t xml:space="preserve">29.0%</w:t>
            </w:r>
          </w:p>
        </w:tc>
        <w:tc>
          <w:tcPr>
            <w:tcW w:type="dxa" w:w="4873"/>
            <w:tcBorders>
              <w:top w:val="single" w:color="C8D4E4" w:sz="1"/>
              <w:left w:val="single" w:color="C8D4E4" w:sz="1"/>
              <w:bottom w:val="single" w:color="C8D4E4" w:sz="1"/>
              <w:right w:val="single" w:color="C8D4E4" w:sz="1"/>
            </w:tcBorders>
            <w:shd w:fill="1B2A4A" w:val="clear"/>
            <w:tcMar>
              <w:top w:type="dxa" w:w="20"/>
              <w:left w:type="dxa" w:w="200"/>
              <w:bottom w:type="dxa" w:w="20"/>
              <w:right w:type="dxa" w:w="200"/>
            </w:tcMar>
          </w:tcPr>
          <w:p>
            <w:pPr>
              <w:jc w:val="center"/>
            </w:pPr>
            <w:r>
              <w:rPr>
                <w:rFonts w:ascii="Arial" w:cs="Arial" w:eastAsia="Arial" w:hAnsi="Arial"/>
                <w:b/>
                <w:bCs/>
                <w:i w:val="false"/>
                <w:iCs w:val="false"/>
                <w:color w:val="C00000"/>
                <w:sz w:val="60"/>
                <w:szCs w:val="60"/>
              </w:rPr>
              <w:t xml:space="preserve">1.6 / 4.0</w:t>
            </w:r>
          </w:p>
        </w:tc>
      </w:tr>
      <w:tr>
        <w:tc>
          <w:tcPr>
            <w:tcW w:type="dxa" w:w="4873"/>
            <w:tcBorders>
              <w:top w:val="single" w:color="C8D4E4" w:sz="1"/>
              <w:left w:val="single" w:color="C8D4E4" w:sz="1"/>
              <w:bottom w:val="single" w:color="C8D4E4" w:sz="1"/>
              <w:right w:val="single" w:color="C8D4E4" w:sz="1"/>
            </w:tcBorders>
            <w:shd w:fill="1B2A4A" w:val="clear"/>
            <w:tcMar>
              <w:top w:type="dxa" w:w="40"/>
              <w:left w:type="dxa" w:w="200"/>
              <w:bottom w:type="dxa" w:w="160"/>
              <w:right w:type="dxa" w:w="200"/>
            </w:tcMar>
          </w:tcPr>
          <w:p>
            <w:pPr>
              <w:jc w:val="center"/>
            </w:pPr>
            <w:r>
              <w:rPr>
                <w:rFonts w:ascii="Arial" w:cs="Arial" w:eastAsia="Arial" w:hAnsi="Arial"/>
                <w:b w:val="false"/>
                <w:bCs w:val="false"/>
                <w:i w:val="false"/>
                <w:iCs w:val="false"/>
                <w:color w:val="FFFFFF"/>
                <w:sz w:val="18"/>
                <w:szCs w:val="18"/>
              </w:rPr>
              <w:t xml:space="preserve">Overall Conformance</w:t>
            </w:r>
          </w:p>
          <w:p>
            <w:pPr>
              <w:jc w:val="center"/>
            </w:pPr>
            <w:r>
              <w:rPr>
                <w:rFonts w:ascii="Arial" w:cs="Arial" w:eastAsia="Arial" w:hAnsi="Arial"/>
                <w:b w:val="false"/>
                <w:bCs w:val="false"/>
                <w:i w:val="false"/>
                <w:iCs w:val="false"/>
                <w:color w:val="C8A951"/>
                <w:sz w:val="16"/>
                <w:szCs w:val="16"/>
              </w:rPr>
              <w:t xml:space="preserve">33 Conformant  ·  48 Partial  ·  33 Non-Conformant</w:t>
            </w:r>
          </w:p>
        </w:tc>
        <w:tc>
          <w:tcPr>
            <w:tcW w:type="dxa" w:w="4873"/>
            <w:tcBorders>
              <w:top w:val="single" w:color="C8D4E4" w:sz="1"/>
              <w:left w:val="single" w:color="C8D4E4" w:sz="1"/>
              <w:bottom w:val="single" w:color="C8D4E4" w:sz="1"/>
              <w:right w:val="single" w:color="C8D4E4" w:sz="1"/>
            </w:tcBorders>
            <w:shd w:fill="1B2A4A" w:val="clear"/>
            <w:tcMar>
              <w:top w:type="dxa" w:w="40"/>
              <w:left w:type="dxa" w:w="200"/>
              <w:bottom w:type="dxa" w:w="160"/>
              <w:right w:type="dxa" w:w="200"/>
            </w:tcMar>
          </w:tcPr>
          <w:p>
            <w:pPr>
              <w:jc w:val="center"/>
            </w:pPr>
            <w:r>
              <w:rPr>
                <w:rFonts w:ascii="Arial" w:cs="Arial" w:eastAsia="Arial" w:hAnsi="Arial"/>
                <w:b w:val="false"/>
                <w:bCs w:val="false"/>
                <w:i w:val="false"/>
                <w:iCs w:val="false"/>
                <w:color w:val="FFFFFF"/>
                <w:sz w:val="18"/>
                <w:szCs w:val="18"/>
              </w:rPr>
              <w:t xml:space="preserve">Overall Maturity Score</w:t>
            </w:r>
          </w:p>
          <w:p>
            <w:pPr>
              <w:jc w:val="center"/>
            </w:pPr>
            <w:r>
              <w:rPr>
                <w:rFonts w:ascii="Arial" w:cs="Arial" w:eastAsia="Arial" w:hAnsi="Arial"/>
                <w:b w:val="false"/>
                <w:bCs w:val="false"/>
                <w:i w:val="false"/>
                <w:iCs w:val="false"/>
                <w:color w:val="C8A951"/>
                <w:sz w:val="16"/>
                <w:szCs w:val="16"/>
              </w:rPr>
              <w:t xml:space="preserve">Target: 3.0  ·  Gap: 1.4</w:t>
            </w:r>
          </w:p>
        </w:tc>
      </w:tr>
    </w:tbl>
    <w:p>
      <w:pPr>
        <w:spacing w:after="0" w:before="160"/>
      </w:pPr>
      <w:r>
        <w:t xml:space="preserve"/>
      </w:r>
    </w:p>
    <w:p>
      <w:pPr>
        <w:spacing w:after="120" w:before="80"/>
        <w:jc w:val="both"/>
      </w:pPr>
      <w:r>
        <w:rPr>
          <w:rFonts w:ascii="Arial" w:cs="Arial" w:eastAsia="Arial" w:hAnsi="Arial"/>
          <w:b w:val="false"/>
          <w:bCs w:val="false"/>
          <w:i w:val="false"/>
          <w:iCs w:val="false"/>
          <w:color w:val="1A1A1A"/>
          <w:sz w:val="20"/>
          <w:szCs w:val="20"/>
        </w:rPr>
        <w:t xml:space="preserve">An overall ECC-1:2018 conformance rate of 29.0% places Al Ameen in the bottom tier of SAMA-regulated entities assessed by this Firm. Of the 114 controls assessed, only 33 are fully conformant. A further 48 controls are partially implemented — meaning controls exist in some form but are inconsistently applied, undocumented, or insufficiently evidenced. Thirty-three controls are entirely absent. The SAMA CSF overall maturity of 1.6 out of 4.0 reflects an organisation at an early, ad hoc stage of cybersecurity programme development. The target maturity of 3.0 (Defined) across all pillars represents a significant but achievable gap with sustained remediation effort over the next twelve months.</w:t>
      </w:r>
    </w:p>
    <w:p>
      <w:pPr>
        <w:spacing w:after="120" w:before="80"/>
        <w:jc w:val="both"/>
      </w:pPr>
      <w:r>
        <w:rPr>
          <w:rFonts w:ascii="Arial" w:cs="Arial" w:eastAsia="Arial" w:hAnsi="Arial"/>
          <w:b w:val="false"/>
          <w:bCs w:val="false"/>
          <w:i w:val="false"/>
          <w:iCs w:val="false"/>
          <w:color w:val="1A1A1A"/>
          <w:sz w:val="20"/>
          <w:szCs w:val="20"/>
        </w:rPr>
        <w:t xml:space="preserve">The strongest area is Cybersecurity Operations, where basic technical controls are in place — perimeter firewall, endpoint antivirus, and Microsoft 365 email security controls. These represent a functional baseline from which the organisation can build. The weakest areas are Cybersecurity Resilience (16.7% conformance) and Third-Party Cybersecurity (21.4% conformance), where foundational controls are entirely absent. Cybersecurity Governance and Risk Management conformance reflects the absence of a formal governance structure, appointed cybersecurity leader, and risk management programme — the absence of which is the root cause of the majority of findings identified in this audit.</w:t>
      </w:r>
    </w:p>
    <w:p>
      <w:pPr>
        <w:spacing w:after="0" w:before="120"/>
      </w:pPr>
      <w:r>
        <w:t xml:space="preserve"/>
      </w:r>
    </w:p>
    <w:p>
      <w:pPr>
        <w:pStyle w:val="Heading1"/>
        <w:pBdr>
          <w:bottom w:val="single" w:color="C8A951" w:sz="4" w:space="4"/>
        </w:pBdr>
        <w:spacing w:after="160" w:before="300"/>
      </w:pPr>
      <w:r>
        <w:rPr>
          <w:rFonts w:ascii="Arial" w:cs="Arial" w:eastAsia="Arial" w:hAnsi="Arial"/>
          <w:b/>
          <w:bCs/>
          <w:i w:val="false"/>
          <w:iCs w:val="false"/>
          <w:color w:val="1B2A4A"/>
          <w:sz w:val="26"/>
          <w:szCs w:val="26"/>
        </w:rPr>
        <w:t xml:space="preserve">3.  Key Audit Findings</w:t>
      </w:r>
    </w:p>
    <w:p>
      <w:pPr>
        <w:spacing w:after="120" w:before="80"/>
        <w:jc w:val="both"/>
      </w:pPr>
      <w:r>
        <w:rPr>
          <w:rFonts w:ascii="Arial" w:cs="Arial" w:eastAsia="Arial" w:hAnsi="Arial"/>
          <w:b w:val="false"/>
          <w:bCs w:val="false"/>
          <w:i w:val="false"/>
          <w:iCs w:val="false"/>
          <w:color w:val="1A1A1A"/>
          <w:sz w:val="20"/>
          <w:szCs w:val="20"/>
        </w:rPr>
        <w:t xml:space="preserve">The audit identified five Critical findings and five High findings across the five ECC-1:2018 domains. The Critical findings represent systemic governance and structural failures; the High findings represent significant operational control gaps that individually carry material risk. Taken together, they reflect an organisation that has not yet established a formal cybersecurity programme.</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5746"/>
        <w:gridCol w:w="1700"/>
        <w:gridCol w:w="1400"/>
      </w:tblGrid>
      <w:tr>
        <w:tc>
          <w:tcPr>
            <w:tcW w:type="dxa" w:w="90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9"/>
                <w:szCs w:val="19"/>
              </w:rPr>
              <w:t xml:space="preserve">Ref</w:t>
            </w:r>
          </w:p>
        </w:tc>
        <w:tc>
          <w:tcPr>
            <w:tcW w:type="dxa" w:w="5746"/>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9"/>
                <w:szCs w:val="19"/>
              </w:rPr>
              <w:t xml:space="preserve">Finding</w:t>
            </w:r>
          </w:p>
        </w:tc>
        <w:tc>
          <w:tcPr>
            <w:tcW w:type="dxa" w:w="170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9"/>
                <w:szCs w:val="19"/>
              </w:rPr>
              <w:t xml:space="preserve">ECC Domain</w:t>
            </w:r>
          </w:p>
        </w:tc>
        <w:tc>
          <w:tcPr>
            <w:tcW w:type="dxa" w:w="140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9"/>
                <w:szCs w:val="19"/>
              </w:rPr>
              <w:t xml:space="preserve">Rating</w:t>
            </w:r>
          </w:p>
        </w:tc>
      </w:tr>
      <w:tr>
        <w:tc>
          <w:tcPr>
            <w:tcW w:type="dxa" w:w="9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bCs/>
                <w:i w:val="false"/>
                <w:iCs w:val="false"/>
                <w:color w:val="1B2A4A"/>
                <w:sz w:val="18"/>
                <w:szCs w:val="18"/>
              </w:rPr>
              <w:t xml:space="preserve">F-001</w:t>
            </w:r>
          </w:p>
        </w:tc>
        <w:tc>
          <w:tcPr>
            <w:tcW w:type="dxa" w:w="5746"/>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No Cybersecurity Strategy or Governance Structure</w:t>
            </w:r>
          </w:p>
        </w:tc>
        <w:tc>
          <w:tcPr>
            <w:tcW w:type="dxa" w:w="17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val="false"/>
                <w:bCs w:val="false"/>
                <w:i w:val="false"/>
                <w:iCs w:val="false"/>
                <w:color w:val="666666"/>
                <w:sz w:val="18"/>
                <w:szCs w:val="18"/>
              </w:rPr>
              <w:t xml:space="preserve">Domain 1</w:t>
            </w:r>
          </w:p>
        </w:tc>
        <w:tc>
          <w:tcPr>
            <w:tcW w:type="dxa" w:w="140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Critical</w:t>
            </w:r>
          </w:p>
        </w:tc>
      </w:tr>
      <w:tr>
        <w:tc>
          <w:tcPr>
            <w:tcW w:type="dxa" w:w="9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B2A4A"/>
                <w:sz w:val="18"/>
                <w:szCs w:val="18"/>
              </w:rPr>
              <w:t xml:space="preserve">F-002</w:t>
            </w:r>
          </w:p>
        </w:tc>
        <w:tc>
          <w:tcPr>
            <w:tcW w:type="dxa" w:w="5746"/>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No Designated CISO or Cybersecurity Accountability</w:t>
            </w:r>
          </w:p>
        </w:tc>
        <w:tc>
          <w:tcPr>
            <w:tcW w:type="dxa" w:w="17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666666"/>
                <w:sz w:val="18"/>
                <w:szCs w:val="18"/>
              </w:rPr>
              <w:t xml:space="preserve">Domain 1</w:t>
            </w:r>
          </w:p>
        </w:tc>
        <w:tc>
          <w:tcPr>
            <w:tcW w:type="dxa" w:w="140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Critical</w:t>
            </w:r>
          </w:p>
        </w:tc>
      </w:tr>
      <w:tr>
        <w:tc>
          <w:tcPr>
            <w:tcW w:type="dxa" w:w="9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bCs/>
                <w:i w:val="false"/>
                <w:iCs w:val="false"/>
                <w:color w:val="1B2A4A"/>
                <w:sz w:val="18"/>
                <w:szCs w:val="18"/>
              </w:rPr>
              <w:t xml:space="preserve">F-003</w:t>
            </w:r>
          </w:p>
        </w:tc>
        <w:tc>
          <w:tcPr>
            <w:tcW w:type="dxa" w:w="5746"/>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No Formal Cyber Risk Assessment Process</w:t>
            </w:r>
          </w:p>
        </w:tc>
        <w:tc>
          <w:tcPr>
            <w:tcW w:type="dxa" w:w="17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val="false"/>
                <w:bCs w:val="false"/>
                <w:i w:val="false"/>
                <w:iCs w:val="false"/>
                <w:color w:val="666666"/>
                <w:sz w:val="18"/>
                <w:szCs w:val="18"/>
              </w:rPr>
              <w:t xml:space="preserve">Domain 2</w:t>
            </w:r>
          </w:p>
        </w:tc>
        <w:tc>
          <w:tcPr>
            <w:tcW w:type="dxa" w:w="140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Critical</w:t>
            </w:r>
          </w:p>
        </w:tc>
      </w:tr>
      <w:tr>
        <w:tc>
          <w:tcPr>
            <w:tcW w:type="dxa" w:w="9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B2A4A"/>
                <w:sz w:val="18"/>
                <w:szCs w:val="18"/>
              </w:rPr>
              <w:t xml:space="preserve">F-004</w:t>
            </w:r>
          </w:p>
        </w:tc>
        <w:tc>
          <w:tcPr>
            <w:tcW w:type="dxa" w:w="5746"/>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No Third-Party Cybersecurity Requirements in Vendor Contracts</w:t>
            </w:r>
          </w:p>
        </w:tc>
        <w:tc>
          <w:tcPr>
            <w:tcW w:type="dxa" w:w="17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666666"/>
                <w:sz w:val="18"/>
                <w:szCs w:val="18"/>
              </w:rPr>
              <w:t xml:space="preserve">Domain 4</w:t>
            </w:r>
          </w:p>
        </w:tc>
        <w:tc>
          <w:tcPr>
            <w:tcW w:type="dxa" w:w="140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Critical</w:t>
            </w:r>
          </w:p>
        </w:tc>
      </w:tr>
      <w:tr>
        <w:tc>
          <w:tcPr>
            <w:tcW w:type="dxa" w:w="9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bCs/>
                <w:i w:val="false"/>
                <w:iCs w:val="false"/>
                <w:color w:val="1B2A4A"/>
                <w:sz w:val="18"/>
                <w:szCs w:val="18"/>
              </w:rPr>
              <w:t xml:space="preserve">F-005</w:t>
            </w:r>
          </w:p>
        </w:tc>
        <w:tc>
          <w:tcPr>
            <w:tcW w:type="dxa" w:w="5746"/>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No Business Continuity or Disaster Recovery Plan</w:t>
            </w:r>
          </w:p>
        </w:tc>
        <w:tc>
          <w:tcPr>
            <w:tcW w:type="dxa" w:w="17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val="false"/>
                <w:bCs w:val="false"/>
                <w:i w:val="false"/>
                <w:iCs w:val="false"/>
                <w:color w:val="666666"/>
                <w:sz w:val="18"/>
                <w:szCs w:val="18"/>
              </w:rPr>
              <w:t xml:space="preserve">Domain 5</w:t>
            </w:r>
          </w:p>
        </w:tc>
        <w:tc>
          <w:tcPr>
            <w:tcW w:type="dxa" w:w="140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Critical</w:t>
            </w:r>
          </w:p>
        </w:tc>
      </w:tr>
      <w:tr>
        <w:tc>
          <w:tcPr>
            <w:tcW w:type="dxa" w:w="9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B2A4A"/>
                <w:sz w:val="18"/>
                <w:szCs w:val="18"/>
              </w:rPr>
              <w:t xml:space="preserve">F-006</w:t>
            </w:r>
          </w:p>
        </w:tc>
        <w:tc>
          <w:tcPr>
            <w:tcW w:type="dxa" w:w="5746"/>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No Security Awareness Training Programme</w:t>
            </w:r>
          </w:p>
        </w:tc>
        <w:tc>
          <w:tcPr>
            <w:tcW w:type="dxa" w:w="17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666666"/>
                <w:sz w:val="18"/>
                <w:szCs w:val="18"/>
              </w:rPr>
              <w:t xml:space="preserve">Domain 1</w:t>
            </w:r>
          </w:p>
        </w:tc>
        <w:tc>
          <w:tcPr>
            <w:tcW w:type="dxa" w:w="140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B8860B"/>
                <w:sz w:val="18"/>
                <w:szCs w:val="18"/>
              </w:rPr>
              <w:t xml:space="preserve">High</w:t>
            </w:r>
          </w:p>
        </w:tc>
      </w:tr>
      <w:tr>
        <w:tc>
          <w:tcPr>
            <w:tcW w:type="dxa" w:w="9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bCs/>
                <w:i w:val="false"/>
                <w:iCs w:val="false"/>
                <w:color w:val="1B2A4A"/>
                <w:sz w:val="18"/>
                <w:szCs w:val="18"/>
              </w:rPr>
              <w:t xml:space="preserve">F-007</w:t>
            </w:r>
          </w:p>
        </w:tc>
        <w:tc>
          <w:tcPr>
            <w:tcW w:type="dxa" w:w="5746"/>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Shared Admin Credentials on Oracle Insurance — Live Risk</w:t>
            </w:r>
          </w:p>
        </w:tc>
        <w:tc>
          <w:tcPr>
            <w:tcW w:type="dxa" w:w="17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val="false"/>
                <w:bCs w:val="false"/>
                <w:i w:val="false"/>
                <w:iCs w:val="false"/>
                <w:color w:val="666666"/>
                <w:sz w:val="18"/>
                <w:szCs w:val="18"/>
              </w:rPr>
              <w:t xml:space="preserve">Domain 3</w:t>
            </w:r>
          </w:p>
        </w:tc>
        <w:tc>
          <w:tcPr>
            <w:tcW w:type="dxa" w:w="140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B8860B"/>
                <w:sz w:val="18"/>
                <w:szCs w:val="18"/>
              </w:rPr>
              <w:t xml:space="preserve">High</w:t>
            </w:r>
          </w:p>
        </w:tc>
      </w:tr>
      <w:tr>
        <w:tc>
          <w:tcPr>
            <w:tcW w:type="dxa" w:w="9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B2A4A"/>
                <w:sz w:val="18"/>
                <w:szCs w:val="18"/>
              </w:rPr>
              <w:t xml:space="preserve">F-008</w:t>
            </w:r>
          </w:p>
        </w:tc>
        <w:tc>
          <w:tcPr>
            <w:tcW w:type="dxa" w:w="5746"/>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Vulnerability Management Ad Hoc — No Schedule or Patch SLA</w:t>
            </w:r>
          </w:p>
        </w:tc>
        <w:tc>
          <w:tcPr>
            <w:tcW w:type="dxa" w:w="17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666666"/>
                <w:sz w:val="18"/>
                <w:szCs w:val="18"/>
              </w:rPr>
              <w:t xml:space="preserve">Domain 3</w:t>
            </w:r>
          </w:p>
        </w:tc>
        <w:tc>
          <w:tcPr>
            <w:tcW w:type="dxa" w:w="140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B8860B"/>
                <w:sz w:val="18"/>
                <w:szCs w:val="18"/>
              </w:rPr>
              <w:t xml:space="preserve">High</w:t>
            </w:r>
          </w:p>
        </w:tc>
      </w:tr>
      <w:tr>
        <w:tc>
          <w:tcPr>
            <w:tcW w:type="dxa" w:w="9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bCs/>
                <w:i w:val="false"/>
                <w:iCs w:val="false"/>
                <w:color w:val="1B2A4A"/>
                <w:sz w:val="18"/>
                <w:szCs w:val="18"/>
              </w:rPr>
              <w:t xml:space="preserve">F-009</w:t>
            </w:r>
          </w:p>
        </w:tc>
        <w:tc>
          <w:tcPr>
            <w:tcW w:type="dxa" w:w="5746"/>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No Incident Response Procedure Documented or Tested</w:t>
            </w:r>
          </w:p>
        </w:tc>
        <w:tc>
          <w:tcPr>
            <w:tcW w:type="dxa" w:w="17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val="false"/>
                <w:bCs w:val="false"/>
                <w:i w:val="false"/>
                <w:iCs w:val="false"/>
                <w:color w:val="666666"/>
                <w:sz w:val="18"/>
                <w:szCs w:val="18"/>
              </w:rPr>
              <w:t xml:space="preserve">Domain 3</w:t>
            </w:r>
          </w:p>
        </w:tc>
        <w:tc>
          <w:tcPr>
            <w:tcW w:type="dxa" w:w="140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B8860B"/>
                <w:sz w:val="18"/>
                <w:szCs w:val="18"/>
              </w:rPr>
              <w:t xml:space="preserve">High</w:t>
            </w:r>
          </w:p>
        </w:tc>
      </w:tr>
      <w:tr>
        <w:tc>
          <w:tcPr>
            <w:tcW w:type="dxa" w:w="9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B2A4A"/>
                <w:sz w:val="18"/>
                <w:szCs w:val="18"/>
              </w:rPr>
              <w:t xml:space="preserve">F-010</w:t>
            </w:r>
          </w:p>
        </w:tc>
        <w:tc>
          <w:tcPr>
            <w:tcW w:type="dxa" w:w="5746"/>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Audit Log Retention 30 Days — SAMA Requires 12 Months</w:t>
            </w:r>
          </w:p>
        </w:tc>
        <w:tc>
          <w:tcPr>
            <w:tcW w:type="dxa" w:w="17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666666"/>
                <w:sz w:val="18"/>
                <w:szCs w:val="18"/>
              </w:rPr>
              <w:t xml:space="preserve">Domain 3</w:t>
            </w:r>
          </w:p>
        </w:tc>
        <w:tc>
          <w:tcPr>
            <w:tcW w:type="dxa" w:w="140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B8860B"/>
                <w:sz w:val="18"/>
                <w:szCs w:val="18"/>
              </w:rPr>
              <w:t xml:space="preserve">High</w:t>
            </w:r>
          </w:p>
        </w:tc>
      </w:tr>
    </w:tbl>
    <w:p>
      <w:pPr>
        <w:spacing w:after="0" w:before="160"/>
      </w:pPr>
      <w:r>
        <w:t xml:space="preserve"/>
      </w:r>
    </w:p>
    <w:tbl>
      <w:tblPr>
        <w:tblW w:type="dxa" w:w="9746"/>
        <w:tblBorders>
          <w:top w:val="none"/>
          <w:left w:val="none"/>
          <w:bottom w:val="none"/>
          <w:right w:val="none"/>
          <w:insideH w:val="single" w:color="auto" w:sz="4"/>
          <w:insideV w:val="single" w:color="auto" w:sz="4"/>
        </w:tblBorders>
      </w:tblPr>
      <w:tblGrid>
        <w:gridCol w:w="9746"/>
      </w:tblGrid>
      <w:tr>
        <w:tc>
          <w:tcPr>
            <w:tcBorders>
              <w:top w:val="single" w:color="C00000" w:sz="6"/>
              <w:left w:val="single" w:color="C00000" w:sz="6"/>
              <w:bottom w:val="single" w:color="C00000" w:sz="6"/>
              <w:right w:val="single" w:color="C00000" w:sz="6"/>
            </w:tcBorders>
            <w:shd w:fill="FCE4D6" w:val="clear"/>
            <w:tcMar>
              <w:top w:type="dxa" w:w="160"/>
              <w:left w:type="dxa" w:w="240"/>
              <w:bottom w:type="dxa" w:w="160"/>
              <w:right w:type="dxa" w:w="240"/>
            </w:tcMar>
          </w:tcPr>
          <w:p>
            <w:r>
              <w:rPr>
                <w:rFonts w:ascii="Arial" w:cs="Arial" w:eastAsia="Arial" w:hAnsi="Arial"/>
                <w:b/>
                <w:bCs/>
                <w:i w:val="false"/>
                <w:iCs w:val="false"/>
                <w:color w:val="C00000"/>
                <w:sz w:val="20"/>
                <w:szCs w:val="20"/>
              </w:rPr>
              <w:t xml:space="preserve">LIVE RISK — IMMEDIATE ACTION REQUIRED</w:t>
            </w:r>
          </w:p>
          <w:p>
            <w:pPr>
              <w:spacing w:after="0" w:before="60"/>
            </w:pPr>
            <w:r>
              <w:t xml:space="preserve"/>
            </w:r>
          </w:p>
          <w:p>
            <w:r>
              <w:rPr>
                <w:rFonts w:ascii="Arial" w:cs="Arial" w:eastAsia="Arial" w:hAnsi="Arial"/>
                <w:b w:val="false"/>
                <w:bCs w:val="false"/>
                <w:i w:val="false"/>
                <w:iCs w:val="false"/>
                <w:color w:val="1A1A1A"/>
                <w:sz w:val="20"/>
                <w:szCs w:val="20"/>
              </w:rPr>
              <w:t xml:space="preserve">Finding F-007 identifies shared administrator credentials in active use on Oracle Insurance Policy Administration. This represents an unmitigated, live risk scored at L5 × I5 = 25 (Critical). Individual named administrator accounts must be created, the shared account disabled, and credentials rotated within five business days of receipt of this report. This action must proceed independently of the phased corrective action schedule.</w:t>
            </w:r>
          </w:p>
        </w:tc>
      </w:tr>
    </w:tbl>
    <w:p>
      <w:pPr>
        <w:spacing w:after="0" w:before="120"/>
      </w:pPr>
      <w:r>
        <w:t xml:space="preserve"/>
      </w:r>
    </w:p>
    <w:p>
      <w:pPr>
        <w:pStyle w:val="Heading1"/>
        <w:pBdr>
          <w:bottom w:val="single" w:color="C8A951" w:sz="4" w:space="4"/>
        </w:pBdr>
        <w:spacing w:after="160" w:before="300"/>
      </w:pPr>
      <w:r>
        <w:rPr>
          <w:rFonts w:ascii="Arial" w:cs="Arial" w:eastAsia="Arial" w:hAnsi="Arial"/>
          <w:b/>
          <w:bCs/>
          <w:i w:val="false"/>
          <w:iCs w:val="false"/>
          <w:color w:val="1B2A4A"/>
          <w:sz w:val="26"/>
          <w:szCs w:val="26"/>
        </w:rPr>
        <w:t xml:space="preserve">4.  SAMA CSF Maturity Assessment</w:t>
      </w:r>
    </w:p>
    <w:p>
      <w:pPr>
        <w:spacing w:after="120" w:before="80"/>
        <w:jc w:val="both"/>
      </w:pPr>
      <w:r>
        <w:rPr>
          <w:rFonts w:ascii="Arial" w:cs="Arial" w:eastAsia="Arial" w:hAnsi="Arial"/>
          <w:b w:val="false"/>
          <w:bCs w:val="false"/>
          <w:i w:val="false"/>
          <w:iCs w:val="false"/>
          <w:color w:val="1A1A1A"/>
          <w:sz w:val="20"/>
          <w:szCs w:val="20"/>
        </w:rPr>
        <w:t xml:space="preserve">The SAMA Cybersecurity Framework maturity assessment evaluated the organisation's cybersecurity programme across four pillars. The overall maturity of 1.6 indicates that cybersecurity activities are largely ad hoc and undocumented across the organisation.</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0"/>
        <w:gridCol w:w="1550"/>
        <w:gridCol w:w="1550"/>
        <w:gridCol w:w="1550"/>
        <w:gridCol w:w="1596"/>
      </w:tblGrid>
      <w:tr>
        <w:tc>
          <w:tcPr>
            <w:tcW w:type="dxa" w:w="450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Pillar</w:t>
            </w:r>
          </w:p>
        </w:tc>
        <w:tc>
          <w:tcPr>
            <w:tcW w:type="dxa" w:w="155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Current</w:t>
            </w:r>
          </w:p>
        </w:tc>
        <w:tc>
          <w:tcPr>
            <w:tcW w:type="dxa" w:w="155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Target</w:t>
            </w:r>
          </w:p>
        </w:tc>
        <w:tc>
          <w:tcPr>
            <w:tcW w:type="dxa" w:w="155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Gap</w:t>
            </w:r>
          </w:p>
        </w:tc>
        <w:tc>
          <w:tcPr>
            <w:tcW w:type="dxa" w:w="1596"/>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Status</w:t>
            </w:r>
          </w:p>
        </w:tc>
      </w:tr>
      <w:tr>
        <w:tc>
          <w:tcPr>
            <w:tcW w:type="dxa" w:w="45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B2A4A"/>
                <w:sz w:val="18"/>
                <w:szCs w:val="18"/>
              </w:rPr>
              <w:t xml:space="preserve">1. Leadership &amp; Governance</w:t>
            </w:r>
          </w:p>
        </w:tc>
        <w:tc>
          <w:tcPr>
            <w:tcW w:type="dxa" w:w="155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1.5</w:t>
            </w:r>
          </w:p>
        </w:tc>
        <w:tc>
          <w:tcPr>
            <w:tcW w:type="dxa" w:w="1550"/>
            <w:tcBorders>
              <w:top w:val="single" w:color="C8D4E4" w:sz="1"/>
              <w:left w:val="single" w:color="C8D4E4" w:sz="1"/>
              <w:bottom w:val="single" w:color="C8D4E4" w:sz="1"/>
              <w:right w:val="single" w:color="C8D4E4" w:sz="1"/>
            </w:tcBorders>
            <w:shd w:fill="E8F0E8" w:val="clear"/>
            <w:tcMar>
              <w:top w:type="dxa" w:w="60"/>
              <w:left w:type="dxa" w:w="100"/>
              <w:bottom w:type="dxa" w:w="60"/>
              <w:right w:type="dxa" w:w="100"/>
            </w:tcMar>
          </w:tcPr>
          <w:p>
            <w:pPr>
              <w:jc w:val="center"/>
            </w:pPr>
            <w:r>
              <w:rPr>
                <w:rFonts w:ascii="Arial" w:cs="Arial" w:eastAsia="Arial" w:hAnsi="Arial"/>
                <w:b/>
                <w:bCs/>
                <w:i w:val="false"/>
                <w:iCs w:val="false"/>
                <w:color w:val="2D6A2D"/>
                <w:sz w:val="18"/>
                <w:szCs w:val="18"/>
              </w:rPr>
              <w:t xml:space="preserve">3.0</w:t>
            </w:r>
          </w:p>
        </w:tc>
        <w:tc>
          <w:tcPr>
            <w:tcW w:type="dxa" w:w="155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B8860B"/>
                <w:sz w:val="18"/>
                <w:szCs w:val="18"/>
              </w:rPr>
              <w:t xml:space="preserve">1.5</w:t>
            </w:r>
          </w:p>
        </w:tc>
        <w:tc>
          <w:tcPr>
            <w:tcW w:type="dxa" w:w="1596"/>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val="false"/>
                <w:bCs w:val="false"/>
                <w:i w:val="false"/>
                <w:iCs w:val="false"/>
                <w:color w:val="B8860B"/>
                <w:sz w:val="16"/>
                <w:szCs w:val="16"/>
              </w:rPr>
              <w:t xml:space="preserve">Below Target</w:t>
            </w:r>
          </w:p>
        </w:tc>
      </w:tr>
      <w:tr>
        <w:tc>
          <w:tcPr>
            <w:tcW w:type="dxa" w:w="45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B2A4A"/>
                <w:sz w:val="18"/>
                <w:szCs w:val="18"/>
              </w:rPr>
              <w:t xml:space="preserve">2. Risk &amp; Compliance</w:t>
            </w:r>
          </w:p>
        </w:tc>
        <w:tc>
          <w:tcPr>
            <w:tcW w:type="dxa" w:w="155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1.5</w:t>
            </w:r>
          </w:p>
        </w:tc>
        <w:tc>
          <w:tcPr>
            <w:tcW w:type="dxa" w:w="1550"/>
            <w:tcBorders>
              <w:top w:val="single" w:color="C8D4E4" w:sz="1"/>
              <w:left w:val="single" w:color="C8D4E4" w:sz="1"/>
              <w:bottom w:val="single" w:color="C8D4E4" w:sz="1"/>
              <w:right w:val="single" w:color="C8D4E4" w:sz="1"/>
            </w:tcBorders>
            <w:shd w:fill="E8F0E8" w:val="clear"/>
            <w:tcMar>
              <w:top w:type="dxa" w:w="60"/>
              <w:left w:type="dxa" w:w="100"/>
              <w:bottom w:type="dxa" w:w="60"/>
              <w:right w:type="dxa" w:w="100"/>
            </w:tcMar>
          </w:tcPr>
          <w:p>
            <w:pPr>
              <w:jc w:val="center"/>
            </w:pPr>
            <w:r>
              <w:rPr>
                <w:rFonts w:ascii="Arial" w:cs="Arial" w:eastAsia="Arial" w:hAnsi="Arial"/>
                <w:b/>
                <w:bCs/>
                <w:i w:val="false"/>
                <w:iCs w:val="false"/>
                <w:color w:val="2D6A2D"/>
                <w:sz w:val="18"/>
                <w:szCs w:val="18"/>
              </w:rPr>
              <w:t xml:space="preserve">3.0</w:t>
            </w:r>
          </w:p>
        </w:tc>
        <w:tc>
          <w:tcPr>
            <w:tcW w:type="dxa" w:w="155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B8860B"/>
                <w:sz w:val="18"/>
                <w:szCs w:val="18"/>
              </w:rPr>
              <w:t xml:space="preserve">1.5</w:t>
            </w:r>
          </w:p>
        </w:tc>
        <w:tc>
          <w:tcPr>
            <w:tcW w:type="dxa" w:w="1596"/>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B8860B"/>
                <w:sz w:val="16"/>
                <w:szCs w:val="16"/>
              </w:rPr>
              <w:t xml:space="preserve">Below Target</w:t>
            </w:r>
          </w:p>
        </w:tc>
      </w:tr>
      <w:tr>
        <w:tc>
          <w:tcPr>
            <w:tcW w:type="dxa" w:w="45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B2A4A"/>
                <w:sz w:val="18"/>
                <w:szCs w:val="18"/>
              </w:rPr>
              <w:t xml:space="preserve">3. Operations &amp; Technology</w:t>
            </w:r>
          </w:p>
        </w:tc>
        <w:tc>
          <w:tcPr>
            <w:tcW w:type="dxa" w:w="155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2.0</w:t>
            </w:r>
          </w:p>
        </w:tc>
        <w:tc>
          <w:tcPr>
            <w:tcW w:type="dxa" w:w="1550"/>
            <w:tcBorders>
              <w:top w:val="single" w:color="C8D4E4" w:sz="1"/>
              <w:left w:val="single" w:color="C8D4E4" w:sz="1"/>
              <w:bottom w:val="single" w:color="C8D4E4" w:sz="1"/>
              <w:right w:val="single" w:color="C8D4E4" w:sz="1"/>
            </w:tcBorders>
            <w:shd w:fill="E8F0E8" w:val="clear"/>
            <w:tcMar>
              <w:top w:type="dxa" w:w="60"/>
              <w:left w:type="dxa" w:w="100"/>
              <w:bottom w:type="dxa" w:w="60"/>
              <w:right w:type="dxa" w:w="100"/>
            </w:tcMar>
          </w:tcPr>
          <w:p>
            <w:pPr>
              <w:jc w:val="center"/>
            </w:pPr>
            <w:r>
              <w:rPr>
                <w:rFonts w:ascii="Arial" w:cs="Arial" w:eastAsia="Arial" w:hAnsi="Arial"/>
                <w:b/>
                <w:bCs/>
                <w:i w:val="false"/>
                <w:iCs w:val="false"/>
                <w:color w:val="2D6A2D"/>
                <w:sz w:val="18"/>
                <w:szCs w:val="18"/>
              </w:rPr>
              <w:t xml:space="preserve">3.0</w:t>
            </w:r>
          </w:p>
        </w:tc>
        <w:tc>
          <w:tcPr>
            <w:tcW w:type="dxa" w:w="155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B8860B"/>
                <w:sz w:val="18"/>
                <w:szCs w:val="18"/>
              </w:rPr>
              <w:t xml:space="preserve">1.0</w:t>
            </w:r>
          </w:p>
        </w:tc>
        <w:tc>
          <w:tcPr>
            <w:tcW w:type="dxa" w:w="1596"/>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val="false"/>
                <w:bCs w:val="false"/>
                <w:i w:val="false"/>
                <w:iCs w:val="false"/>
                <w:color w:val="B8860B"/>
                <w:sz w:val="16"/>
                <w:szCs w:val="16"/>
              </w:rPr>
              <w:t xml:space="preserve">Below Target</w:t>
            </w:r>
          </w:p>
        </w:tc>
      </w:tr>
      <w:tr>
        <w:tc>
          <w:tcPr>
            <w:tcW w:type="dxa" w:w="45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B2A4A"/>
                <w:sz w:val="18"/>
                <w:szCs w:val="18"/>
              </w:rPr>
              <w:t xml:space="preserve">4. Third-Party Management</w:t>
            </w:r>
          </w:p>
        </w:tc>
        <w:tc>
          <w:tcPr>
            <w:tcW w:type="dxa" w:w="155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1.5</w:t>
            </w:r>
          </w:p>
        </w:tc>
        <w:tc>
          <w:tcPr>
            <w:tcW w:type="dxa" w:w="1550"/>
            <w:tcBorders>
              <w:top w:val="single" w:color="C8D4E4" w:sz="1"/>
              <w:left w:val="single" w:color="C8D4E4" w:sz="1"/>
              <w:bottom w:val="single" w:color="C8D4E4" w:sz="1"/>
              <w:right w:val="single" w:color="C8D4E4" w:sz="1"/>
            </w:tcBorders>
            <w:shd w:fill="E8F0E8" w:val="clear"/>
            <w:tcMar>
              <w:top w:type="dxa" w:w="60"/>
              <w:left w:type="dxa" w:w="100"/>
              <w:bottom w:type="dxa" w:w="60"/>
              <w:right w:type="dxa" w:w="100"/>
            </w:tcMar>
          </w:tcPr>
          <w:p>
            <w:pPr>
              <w:jc w:val="center"/>
            </w:pPr>
            <w:r>
              <w:rPr>
                <w:rFonts w:ascii="Arial" w:cs="Arial" w:eastAsia="Arial" w:hAnsi="Arial"/>
                <w:b/>
                <w:bCs/>
                <w:i w:val="false"/>
                <w:iCs w:val="false"/>
                <w:color w:val="2D6A2D"/>
                <w:sz w:val="18"/>
                <w:szCs w:val="18"/>
              </w:rPr>
              <w:t xml:space="preserve">3.0</w:t>
            </w:r>
          </w:p>
        </w:tc>
        <w:tc>
          <w:tcPr>
            <w:tcW w:type="dxa" w:w="155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B8860B"/>
                <w:sz w:val="18"/>
                <w:szCs w:val="18"/>
              </w:rPr>
              <w:t xml:space="preserve">1.5</w:t>
            </w:r>
          </w:p>
        </w:tc>
        <w:tc>
          <w:tcPr>
            <w:tcW w:type="dxa" w:w="1596"/>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B8860B"/>
                <w:sz w:val="16"/>
                <w:szCs w:val="16"/>
              </w:rPr>
              <w:t xml:space="preserve">Below Target</w:t>
            </w:r>
          </w:p>
        </w:tc>
      </w:tr>
      <w:tr>
        <w:tc>
          <w:tcPr>
            <w:tcW w:type="dxa" w:w="4500"/>
            <w:tcBorders>
              <w:top w:val="single" w:color="C8D4E4" w:sz="1"/>
              <w:left w:val="single" w:color="C8D4E4" w:sz="1"/>
              <w:bottom w:val="single" w:color="C8D4E4" w:sz="1"/>
              <w:right w:val="single" w:color="C8D4E4" w:sz="1"/>
            </w:tcBorders>
            <w:shd w:fill="1B2A4A" w:val="clear"/>
            <w:tcMar>
              <w:top w:type="dxa" w:w="60"/>
              <w:left w:type="dxa" w:w="100"/>
              <w:bottom w:type="dxa" w:w="60"/>
              <w:right w:type="dxa" w:w="100"/>
            </w:tcMar>
          </w:tcPr>
          <w:p>
            <w:r>
              <w:rPr>
                <w:rFonts w:ascii="Arial" w:cs="Arial" w:eastAsia="Arial" w:hAnsi="Arial"/>
                <w:b/>
                <w:bCs/>
                <w:i w:val="false"/>
                <w:iCs w:val="false"/>
                <w:color w:val="C8A951"/>
                <w:sz w:val="18"/>
                <w:szCs w:val="18"/>
              </w:rPr>
              <w:t xml:space="preserve">OVERALL</w:t>
            </w:r>
          </w:p>
        </w:tc>
        <w:tc>
          <w:tcPr>
            <w:tcW w:type="dxa" w:w="1550"/>
            <w:tcBorders>
              <w:top w:val="single" w:color="C8D4E4" w:sz="1"/>
              <w:left w:val="single" w:color="C8D4E4" w:sz="1"/>
              <w:bottom w:val="single" w:color="C8D4E4" w:sz="1"/>
              <w:right w:val="single" w:color="C8D4E4" w:sz="1"/>
            </w:tcBorders>
            <w:shd w:fill="1B2A4A"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1.6</w:t>
            </w:r>
          </w:p>
        </w:tc>
        <w:tc>
          <w:tcPr>
            <w:tcW w:type="dxa" w:w="1550"/>
            <w:tcBorders>
              <w:top w:val="single" w:color="C8D4E4" w:sz="1"/>
              <w:left w:val="single" w:color="C8D4E4" w:sz="1"/>
              <w:bottom w:val="single" w:color="C8D4E4" w:sz="1"/>
              <w:right w:val="single" w:color="C8D4E4" w:sz="1"/>
            </w:tcBorders>
            <w:shd w:fill="1B2A4A"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3.0</w:t>
            </w:r>
          </w:p>
        </w:tc>
        <w:tc>
          <w:tcPr>
            <w:tcW w:type="dxa" w:w="1550"/>
            <w:tcBorders>
              <w:top w:val="single" w:color="C8D4E4" w:sz="1"/>
              <w:left w:val="single" w:color="C8D4E4" w:sz="1"/>
              <w:bottom w:val="single" w:color="C8D4E4" w:sz="1"/>
              <w:right w:val="single" w:color="C8D4E4" w:sz="1"/>
            </w:tcBorders>
            <w:shd w:fill="1B2A4A"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1.4</w:t>
            </w:r>
          </w:p>
        </w:tc>
        <w:tc>
          <w:tcPr>
            <w:tcW w:type="dxa" w:w="1596"/>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val="false"/>
                <w:bCs w:val="false"/>
                <w:i w:val="false"/>
                <w:iCs w:val="false"/>
                <w:color w:val="C00000"/>
                <w:sz w:val="16"/>
                <w:szCs w:val="16"/>
              </w:rPr>
              <w:t xml:space="preserve">Below Target</w:t>
            </w:r>
          </w:p>
        </w:tc>
      </w:tr>
    </w:tbl>
    <w:p>
      <w:pPr>
        <w:spacing w:after="0" w:before="160"/>
      </w:pPr>
      <w:r>
        <w:t xml:space="preserve"/>
      </w:r>
    </w:p>
    <w:p>
      <w:pPr>
        <w:spacing w:after="120" w:before="80"/>
        <w:jc w:val="both"/>
      </w:pPr>
      <w:r>
        <w:rPr>
          <w:rFonts w:ascii="Arial" w:cs="Arial" w:eastAsia="Arial" w:hAnsi="Arial"/>
          <w:b w:val="false"/>
          <w:bCs w:val="false"/>
          <w:i w:val="false"/>
          <w:iCs w:val="false"/>
          <w:color w:val="1A1A1A"/>
          <w:sz w:val="20"/>
          <w:szCs w:val="20"/>
        </w:rPr>
        <w:t xml:space="preserve">Operations and Technology scores highest at 2.0, reflecting the existence of basic technical controls. All other pillars score at 1.5, indicating that while some basic elements exist — such as regulatory awareness within the compliance function and commercial contracts with vendors — the cybersecurity-specific components of governance, risk management, and third-party oversight have not been formalised. Achieving the target maturity of 3.0 across all pillars requires the organisation to move from ad hoc, individual awareness to documented, consistently implemented, and management-reviewed cybersecurity processes.</w:t>
      </w:r>
    </w:p>
    <w:p>
      <w:pPr>
        <w:spacing w:after="0" w:before="120"/>
      </w:pPr>
      <w:r>
        <w:t xml:space="preserve"/>
      </w:r>
    </w:p>
    <w:p>
      <w:pPr>
        <w:pStyle w:val="Heading1"/>
        <w:pBdr>
          <w:bottom w:val="single" w:color="C8A951" w:sz="4" w:space="4"/>
        </w:pBdr>
        <w:spacing w:after="160" w:before="300"/>
      </w:pPr>
      <w:r>
        <w:rPr>
          <w:rFonts w:ascii="Arial" w:cs="Arial" w:eastAsia="Arial" w:hAnsi="Arial"/>
          <w:b/>
          <w:bCs/>
          <w:i w:val="false"/>
          <w:iCs w:val="false"/>
          <w:color w:val="1B2A4A"/>
          <w:sz w:val="26"/>
          <w:szCs w:val="26"/>
        </w:rPr>
        <w:t xml:space="preserve">5.  Remediation Programme</w:t>
      </w:r>
    </w:p>
    <w:p>
      <w:pPr>
        <w:spacing w:after="120" w:before="80"/>
        <w:jc w:val="both"/>
      </w:pPr>
      <w:r>
        <w:rPr>
          <w:rFonts w:ascii="Arial" w:cs="Arial" w:eastAsia="Arial" w:hAnsi="Arial"/>
          <w:b w:val="false"/>
          <w:bCs w:val="false"/>
          <w:i w:val="false"/>
          <w:iCs w:val="false"/>
          <w:color w:val="1A1A1A"/>
          <w:sz w:val="20"/>
          <w:szCs w:val="20"/>
        </w:rPr>
        <w:t xml:space="preserve">The Corrective Action Plan (RCA-P3-005) sets out 30 corrective actions across four phases spanning November 2024 to October 2025. All actions are linked to specific audit findings and risk register entries. Phase 1 and Phase 2 actions carry the highest priority and require Board-level commitment to resource allocation and organisational change.</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000"/>
        <w:gridCol w:w="6946"/>
      </w:tblGrid>
      <w:tr>
        <w:tc>
          <w:tcPr>
            <w:tcW w:type="dxa" w:w="120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Phase</w:t>
            </w:r>
          </w:p>
        </w:tc>
        <w:tc>
          <w:tcPr>
            <w:tcW w:type="dxa" w:w="160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Period</w:t>
            </w:r>
          </w:p>
        </w:tc>
        <w:tc>
          <w:tcPr>
            <w:tcW w:type="dxa" w:w="100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Actions</w:t>
            </w:r>
          </w:p>
        </w:tc>
        <w:tc>
          <w:tcPr>
            <w:tcW w:type="dxa" w:w="6946"/>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Focus Areas</w:t>
            </w:r>
          </w:p>
        </w:tc>
      </w:tr>
      <w:tr>
        <w:tc>
          <w:tcPr>
            <w:tcW w:type="dxa" w:w="120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Phase 1</w:t>
            </w:r>
          </w:p>
        </w:tc>
        <w:tc>
          <w:tcPr>
            <w:tcW w:type="dxa" w:w="1600"/>
            <w:tcBorders>
              <w:top w:val="single" w:color="C8D4E4" w:sz="1"/>
              <w:left w:val="single" w:color="C8D4E4" w:sz="1"/>
              <w:bottom w:val="single" w:color="C8D4E4" w:sz="1"/>
              <w:right w:val="single" w:color="C8D4E4" w:sz="1"/>
            </w:tcBorders>
            <w:shd w:fill="EEF1F7" w:val="clear"/>
            <w:tcMar>
              <w:top w:type="dxa" w:w="80"/>
              <w:left w:type="dxa" w:w="100"/>
              <w:bottom w:type="dxa" w:w="80"/>
              <w:right w:type="dxa" w:w="100"/>
            </w:tcMar>
          </w:tcPr>
          <w:p>
            <w:pPr>
              <w:jc w:val="center"/>
            </w:pPr>
            <w:r>
              <w:rPr>
                <w:rFonts w:ascii="Arial" w:cs="Arial" w:eastAsia="Arial" w:hAnsi="Arial"/>
                <w:b w:val="false"/>
                <w:bCs w:val="false"/>
                <w:i w:val="false"/>
                <w:iCs w:val="false"/>
                <w:color w:val="1A1A1A"/>
                <w:sz w:val="18"/>
                <w:szCs w:val="18"/>
              </w:rPr>
              <w:t xml:space="preserve">Nov–Dec 2024</w:t>
            </w:r>
          </w:p>
        </w:tc>
        <w:tc>
          <w:tcPr>
            <w:tcW w:type="dxa" w:w="1000"/>
            <w:tcBorders>
              <w:top w:val="single" w:color="C8D4E4" w:sz="1"/>
              <w:left w:val="single" w:color="C8D4E4" w:sz="1"/>
              <w:bottom w:val="single" w:color="C8D4E4" w:sz="1"/>
              <w:right w:val="single" w:color="C8D4E4" w:sz="1"/>
            </w:tcBorders>
            <w:shd w:fill="EEF1F7" w:val="clear"/>
            <w:tcMar>
              <w:top w:type="dxa" w:w="80"/>
              <w:left w:type="dxa" w:w="100"/>
              <w:bottom w:type="dxa" w:w="80"/>
              <w:right w:type="dxa" w:w="100"/>
            </w:tcMar>
          </w:tcPr>
          <w:p>
            <w:pPr>
              <w:jc w:val="center"/>
            </w:pPr>
            <w:r>
              <w:rPr>
                <w:rFonts w:ascii="Arial" w:cs="Arial" w:eastAsia="Arial" w:hAnsi="Arial"/>
                <w:b/>
                <w:bCs/>
                <w:i w:val="false"/>
                <w:iCs w:val="false"/>
                <w:color w:val="1B2A4A"/>
                <w:sz w:val="18"/>
                <w:szCs w:val="18"/>
              </w:rPr>
              <w:t xml:space="preserve">8</w:t>
            </w:r>
          </w:p>
        </w:tc>
        <w:tc>
          <w:tcPr>
            <w:tcW w:type="dxa" w:w="6946"/>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Critical governance &amp; live risks — CISO appointment, Oracle Insurance shared credentials remediation, third-party access review, Azure AD log retention, user access audit</w:t>
            </w:r>
          </w:p>
        </w:tc>
      </w:tr>
      <w:tr>
        <w:tc>
          <w:tcPr>
            <w:tcW w:type="dxa" w:w="1200"/>
            <w:tcBorders>
              <w:top w:val="single" w:color="C8D4E4" w:sz="1"/>
              <w:left w:val="single" w:color="C8D4E4" w:sz="1"/>
              <w:bottom w:val="single" w:color="C8D4E4" w:sz="1"/>
              <w:right w:val="single" w:color="C8D4E4" w:sz="1"/>
            </w:tcBorders>
            <w:shd w:fill="234068"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Phase 2</w:t>
            </w:r>
          </w:p>
        </w:tc>
        <w:tc>
          <w:tcPr>
            <w:tcW w:type="dxa" w:w="1600"/>
            <w:tcBorders>
              <w:top w:val="single" w:color="C8D4E4" w:sz="1"/>
              <w:left w:val="single" w:color="C8D4E4" w:sz="1"/>
              <w:bottom w:val="single" w:color="C8D4E4" w:sz="1"/>
              <w:right w:val="single" w:color="C8D4E4" w:sz="1"/>
            </w:tcBorders>
            <w:shd w:fill="EEF1F7" w:val="clear"/>
            <w:tcMar>
              <w:top w:type="dxa" w:w="80"/>
              <w:left w:type="dxa" w:w="100"/>
              <w:bottom w:type="dxa" w:w="80"/>
              <w:right w:type="dxa" w:w="100"/>
            </w:tcMar>
          </w:tcPr>
          <w:p>
            <w:pPr>
              <w:jc w:val="center"/>
            </w:pPr>
            <w:r>
              <w:rPr>
                <w:rFonts w:ascii="Arial" w:cs="Arial" w:eastAsia="Arial" w:hAnsi="Arial"/>
                <w:b w:val="false"/>
                <w:bCs w:val="false"/>
                <w:i w:val="false"/>
                <w:iCs w:val="false"/>
                <w:color w:val="1A1A1A"/>
                <w:sz w:val="18"/>
                <w:szCs w:val="18"/>
              </w:rPr>
              <w:t xml:space="preserve">Jan–Mar 2025</w:t>
            </w:r>
          </w:p>
        </w:tc>
        <w:tc>
          <w:tcPr>
            <w:tcW w:type="dxa" w:w="1000"/>
            <w:tcBorders>
              <w:top w:val="single" w:color="C8D4E4" w:sz="1"/>
              <w:left w:val="single" w:color="C8D4E4" w:sz="1"/>
              <w:bottom w:val="single" w:color="C8D4E4" w:sz="1"/>
              <w:right w:val="single" w:color="C8D4E4" w:sz="1"/>
            </w:tcBorders>
            <w:shd w:fill="EEF1F7" w:val="clear"/>
            <w:tcMar>
              <w:top w:type="dxa" w:w="80"/>
              <w:left w:type="dxa" w:w="100"/>
              <w:bottom w:type="dxa" w:w="80"/>
              <w:right w:type="dxa" w:w="100"/>
            </w:tcMar>
          </w:tcPr>
          <w:p>
            <w:pPr>
              <w:jc w:val="center"/>
            </w:pPr>
            <w:r>
              <w:rPr>
                <w:rFonts w:ascii="Arial" w:cs="Arial" w:eastAsia="Arial" w:hAnsi="Arial"/>
                <w:b/>
                <w:bCs/>
                <w:i w:val="false"/>
                <w:iCs w:val="false"/>
                <w:color w:val="1B2A4A"/>
                <w:sz w:val="18"/>
                <w:szCs w:val="18"/>
              </w:rPr>
              <w:t xml:space="preserve">12</w:t>
            </w:r>
          </w:p>
        </w:tc>
        <w:tc>
          <w:tcPr>
            <w:tcW w:type="dxa" w:w="6946"/>
            <w:tcBorders>
              <w:top w:val="single" w:color="C8D4E4" w:sz="1"/>
              <w:left w:val="single" w:color="C8D4E4" w:sz="1"/>
              <w:bottom w:val="single" w:color="C8D4E4" w:sz="1"/>
              <w:right w:val="single" w:color="C8D4E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Risk management, incident response, centralised log management, mandatory security awareness training, cybersecurity policy framework, SAMA breach notification procedure, MFA on Oracle Insurance</w:t>
            </w:r>
          </w:p>
        </w:tc>
      </w:tr>
      <w:tr>
        <w:tc>
          <w:tcPr>
            <w:tcW w:type="dxa" w:w="1200"/>
            <w:tcBorders>
              <w:top w:val="single" w:color="C8D4E4" w:sz="1"/>
              <w:left w:val="single" w:color="C8D4E4" w:sz="1"/>
              <w:bottom w:val="single" w:color="C8D4E4" w:sz="1"/>
              <w:right w:val="single" w:color="C8D4E4" w:sz="1"/>
            </w:tcBorders>
            <w:shd w:fill="2B4F7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Phase 3</w:t>
            </w:r>
          </w:p>
        </w:tc>
        <w:tc>
          <w:tcPr>
            <w:tcW w:type="dxa" w:w="1600"/>
            <w:tcBorders>
              <w:top w:val="single" w:color="C8D4E4" w:sz="1"/>
              <w:left w:val="single" w:color="C8D4E4" w:sz="1"/>
              <w:bottom w:val="single" w:color="C8D4E4" w:sz="1"/>
              <w:right w:val="single" w:color="C8D4E4" w:sz="1"/>
            </w:tcBorders>
            <w:shd w:fill="EEF1F7" w:val="clear"/>
            <w:tcMar>
              <w:top w:type="dxa" w:w="80"/>
              <w:left w:type="dxa" w:w="100"/>
              <w:bottom w:type="dxa" w:w="80"/>
              <w:right w:type="dxa" w:w="100"/>
            </w:tcMar>
          </w:tcPr>
          <w:p>
            <w:pPr>
              <w:jc w:val="center"/>
            </w:pPr>
            <w:r>
              <w:rPr>
                <w:rFonts w:ascii="Arial" w:cs="Arial" w:eastAsia="Arial" w:hAnsi="Arial"/>
                <w:b w:val="false"/>
                <w:bCs w:val="false"/>
                <w:i w:val="false"/>
                <w:iCs w:val="false"/>
                <w:color w:val="1A1A1A"/>
                <w:sz w:val="18"/>
                <w:szCs w:val="18"/>
              </w:rPr>
              <w:t xml:space="preserve">Apr–Jun 2025</w:t>
            </w:r>
          </w:p>
        </w:tc>
        <w:tc>
          <w:tcPr>
            <w:tcW w:type="dxa" w:w="1000"/>
            <w:tcBorders>
              <w:top w:val="single" w:color="C8D4E4" w:sz="1"/>
              <w:left w:val="single" w:color="C8D4E4" w:sz="1"/>
              <w:bottom w:val="single" w:color="C8D4E4" w:sz="1"/>
              <w:right w:val="single" w:color="C8D4E4" w:sz="1"/>
            </w:tcBorders>
            <w:shd w:fill="EEF1F7" w:val="clear"/>
            <w:tcMar>
              <w:top w:type="dxa" w:w="80"/>
              <w:left w:type="dxa" w:w="100"/>
              <w:bottom w:type="dxa" w:w="80"/>
              <w:right w:type="dxa" w:w="100"/>
            </w:tcMar>
          </w:tcPr>
          <w:p>
            <w:pPr>
              <w:jc w:val="center"/>
            </w:pPr>
            <w:r>
              <w:rPr>
                <w:rFonts w:ascii="Arial" w:cs="Arial" w:eastAsia="Arial" w:hAnsi="Arial"/>
                <w:b/>
                <w:bCs/>
                <w:i w:val="false"/>
                <w:iCs w:val="false"/>
                <w:color w:val="1B2A4A"/>
                <w:sz w:val="18"/>
                <w:szCs w:val="18"/>
              </w:rPr>
              <w:t xml:space="preserve">8</w:t>
            </w:r>
          </w:p>
        </w:tc>
        <w:tc>
          <w:tcPr>
            <w:tcW w:type="dxa" w:w="6946"/>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Third-party contractual security requirements for Najm, Munich Re, and Swiss Re; vendor security assessments; scheduled vulnerability management programme; BCP/DRP development; offsite backup capability</w:t>
            </w:r>
          </w:p>
        </w:tc>
      </w:tr>
      <w:tr>
        <w:tc>
          <w:tcPr>
            <w:tcW w:type="dxa" w:w="1200"/>
            <w:tcBorders>
              <w:top w:val="single" w:color="C8D4E4" w:sz="1"/>
              <w:left w:val="single" w:color="C8D4E4" w:sz="1"/>
              <w:bottom w:val="single" w:color="C8D4E4" w:sz="1"/>
              <w:right w:val="single" w:color="C8D4E4" w:sz="1"/>
            </w:tcBorders>
            <w:shd w:fill="1B3A5C"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Phase 4</w:t>
            </w:r>
          </w:p>
        </w:tc>
        <w:tc>
          <w:tcPr>
            <w:tcW w:type="dxa" w:w="1600"/>
            <w:tcBorders>
              <w:top w:val="single" w:color="C8D4E4" w:sz="1"/>
              <w:left w:val="single" w:color="C8D4E4" w:sz="1"/>
              <w:bottom w:val="single" w:color="C8D4E4" w:sz="1"/>
              <w:right w:val="single" w:color="C8D4E4" w:sz="1"/>
            </w:tcBorders>
            <w:shd w:fill="EEF1F7" w:val="clear"/>
            <w:tcMar>
              <w:top w:type="dxa" w:w="80"/>
              <w:left w:type="dxa" w:w="100"/>
              <w:bottom w:type="dxa" w:w="80"/>
              <w:right w:type="dxa" w:w="100"/>
            </w:tcMar>
          </w:tcPr>
          <w:p>
            <w:pPr>
              <w:jc w:val="center"/>
            </w:pPr>
            <w:r>
              <w:rPr>
                <w:rFonts w:ascii="Arial" w:cs="Arial" w:eastAsia="Arial" w:hAnsi="Arial"/>
                <w:b w:val="false"/>
                <w:bCs w:val="false"/>
                <w:i w:val="false"/>
                <w:iCs w:val="false"/>
                <w:color w:val="1A1A1A"/>
                <w:sz w:val="18"/>
                <w:szCs w:val="18"/>
              </w:rPr>
              <w:t xml:space="preserve">Jul–Oct 2025</w:t>
            </w:r>
          </w:p>
        </w:tc>
        <w:tc>
          <w:tcPr>
            <w:tcW w:type="dxa" w:w="1000"/>
            <w:tcBorders>
              <w:top w:val="single" w:color="C8D4E4" w:sz="1"/>
              <w:left w:val="single" w:color="C8D4E4" w:sz="1"/>
              <w:bottom w:val="single" w:color="C8D4E4" w:sz="1"/>
              <w:right w:val="single" w:color="C8D4E4" w:sz="1"/>
            </w:tcBorders>
            <w:shd w:fill="EEF1F7" w:val="clear"/>
            <w:tcMar>
              <w:top w:type="dxa" w:w="80"/>
              <w:left w:type="dxa" w:w="100"/>
              <w:bottom w:type="dxa" w:w="80"/>
              <w:right w:type="dxa" w:w="100"/>
            </w:tcMar>
          </w:tcPr>
          <w:p>
            <w:pPr>
              <w:jc w:val="center"/>
            </w:pPr>
            <w:r>
              <w:rPr>
                <w:rFonts w:ascii="Arial" w:cs="Arial" w:eastAsia="Arial" w:hAnsi="Arial"/>
                <w:b/>
                <w:bCs/>
                <w:i w:val="false"/>
                <w:iCs w:val="false"/>
                <w:color w:val="1B2A4A"/>
                <w:sz w:val="18"/>
                <w:szCs w:val="18"/>
              </w:rPr>
              <w:t xml:space="preserve">2</w:t>
            </w:r>
          </w:p>
        </w:tc>
        <w:tc>
          <w:tcPr>
            <w:tcW w:type="dxa" w:w="6946"/>
            <w:tcBorders>
              <w:top w:val="single" w:color="C8D4E4" w:sz="1"/>
              <w:left w:val="single" w:color="C8D4E4" w:sz="1"/>
              <w:bottom w:val="single" w:color="C8D4E4" w:sz="1"/>
              <w:right w:val="single" w:color="C8D4E4"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Full BCP/DR tabletop exercise and validation; SAMA CSF maturity validation assessment; regulatory readiness evidence pack</w:t>
            </w:r>
          </w:p>
        </w:tc>
      </w:tr>
    </w:tbl>
    <w:p>
      <w:pPr>
        <w:spacing w:after="0" w:before="160"/>
      </w:pPr>
      <w:r>
        <w:t xml:space="preserve"/>
      </w:r>
    </w:p>
    <w:p>
      <w:pPr>
        <w:spacing w:after="120" w:before="80"/>
        <w:jc w:val="both"/>
      </w:pPr>
      <w:r>
        <w:rPr>
          <w:rFonts w:ascii="Arial" w:cs="Arial" w:eastAsia="Arial" w:hAnsi="Arial"/>
          <w:b w:val="false"/>
          <w:bCs w:val="false"/>
          <w:i w:val="false"/>
          <w:iCs w:val="false"/>
          <w:color w:val="1A1A1A"/>
          <w:sz w:val="20"/>
          <w:szCs w:val="20"/>
        </w:rPr>
        <w:t xml:space="preserve">The single most important enabler for the entire remediation programme is the appointment of a CISO or designated cybersecurity accountable person. Without a named owner for the cybersecurity programme, the corrective action plan has no driver, no escalation path, and no mechanism to report progress to the Board. This appointment should be the first action taken following receipt of this report.</w:t>
      </w:r>
    </w:p>
    <w:p>
      <w:pPr>
        <w:spacing w:after="120" w:before="80"/>
        <w:jc w:val="both"/>
      </w:pPr>
      <w:r>
        <w:rPr>
          <w:rFonts w:ascii="Arial" w:cs="Arial" w:eastAsia="Arial" w:hAnsi="Arial"/>
          <w:b w:val="false"/>
          <w:bCs w:val="false"/>
          <w:i w:val="false"/>
          <w:iCs w:val="false"/>
          <w:color w:val="1A1A1A"/>
          <w:sz w:val="20"/>
          <w:szCs w:val="20"/>
        </w:rPr>
        <w:t xml:space="preserve">The estimated timeline to achieve SAMA CSF maturity Level 3.0 across all pillars is twelve months from the commencement of Phase 1. This is contingent on the timely appointment of a CISO, Board approval of the corrective action plan, and adequate resource allocation — budget, staff time, and legal engagement for third-party contract renegotiation.</w:t>
      </w:r>
    </w:p>
    <w:p>
      <w:pPr>
        <w:spacing w:after="0" w:before="120"/>
      </w:pPr>
      <w:r>
        <w:t xml:space="preserve"/>
      </w:r>
    </w:p>
    <w:p>
      <w:pPr>
        <w:pStyle w:val="Heading1"/>
        <w:pBdr>
          <w:bottom w:val="single" w:color="C8A951" w:sz="4" w:space="4"/>
        </w:pBdr>
        <w:spacing w:after="160" w:before="300"/>
      </w:pPr>
      <w:r>
        <w:rPr>
          <w:rFonts w:ascii="Arial" w:cs="Arial" w:eastAsia="Arial" w:hAnsi="Arial"/>
          <w:b/>
          <w:bCs/>
          <w:i w:val="false"/>
          <w:iCs w:val="false"/>
          <w:color w:val="1B2A4A"/>
          <w:sz w:val="26"/>
          <w:szCs w:val="26"/>
        </w:rPr>
        <w:t xml:space="preserve">6.  Board and Senior Management Actions Required</w:t>
      </w:r>
    </w:p>
    <w:p>
      <w:pPr>
        <w:spacing w:after="120" w:before="80"/>
        <w:jc w:val="both"/>
      </w:pPr>
      <w:r>
        <w:rPr>
          <w:rFonts w:ascii="Arial" w:cs="Arial" w:eastAsia="Arial" w:hAnsi="Arial"/>
          <w:b w:val="false"/>
          <w:bCs w:val="false"/>
          <w:i w:val="false"/>
          <w:iCs w:val="false"/>
          <w:color w:val="1A1A1A"/>
          <w:sz w:val="20"/>
          <w:szCs w:val="20"/>
        </w:rPr>
        <w:t xml:space="preserve">The following actions are required from the Board of Directors and Senior Management to initiate the remediation programme. These are not delegatable to the IT function — they require executive decision and authorisation.</w:t>
      </w:r>
    </w:p>
    <w:p>
      <w:pPr>
        <w:spacing w:after="0" w:before="80"/>
      </w:pPr>
      <w:r>
        <w:t xml:space="preserve"/>
      </w:r>
    </w:p>
    <w:tbl>
      <w:tblPr>
        <w:tblW w:type="dxa" w:w="9746"/>
        <w:tblBorders>
          <w:top w:val="none"/>
          <w:left w:val="none"/>
          <w:bottom w:val="none"/>
          <w:right w:val="none"/>
          <w:insideH w:val="single" w:color="auto" w:sz="4"/>
          <w:insideV w:val="single" w:color="auto" w:sz="4"/>
        </w:tblBorders>
      </w:tblPr>
      <w:tblGrid>
        <w:gridCol w:w="9746"/>
      </w:tblGrid>
      <w:tr>
        <w:tc>
          <w:tcPr>
            <w:tcBorders>
              <w:top w:val="single" w:color="C8A951" w:sz="4"/>
              <w:left w:val="single" w:color="1B2A4A" w:sz="16"/>
              <w:bottom w:val="single" w:color="C8A951" w:sz="4"/>
              <w:right w:val="none" w:color="FFFFFF" w:sz="0"/>
            </w:tcBorders>
            <w:shd w:fill="EEF1F7" w:val="clear"/>
            <w:tcMar>
              <w:top w:type="dxa" w:w="160"/>
              <w:left w:type="dxa" w:w="240"/>
              <w:bottom w:type="dxa" w:w="160"/>
              <w:right w:type="dxa" w:w="240"/>
            </w:tcMar>
          </w:tcPr>
          <w:p>
            <w:r>
              <w:rPr>
                <w:rFonts w:ascii="Arial" w:cs="Arial" w:eastAsia="Arial" w:hAnsi="Arial"/>
                <w:b/>
                <w:bCs/>
                <w:i w:val="false"/>
                <w:iCs w:val="false"/>
                <w:color w:val="1B2A4A"/>
                <w:sz w:val="20"/>
                <w:szCs w:val="20"/>
              </w:rPr>
              <w:t xml:space="preserve">Board Priority Actions</w:t>
            </w:r>
          </w:p>
          <w:p>
            <w:pPr>
              <w:spacing w:after="0" w:before="80"/>
            </w:pPr>
            <w:r>
              <w:t xml:space="preserve"/>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Appoint a CISO or designate a cybersecurity accountable person at senior management level — this is the prerequisite for all other remediation</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Remediate the live shared credential risk on Oracle Insurance within five business days — this is an active, unmitigated threat</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Approve the corrective action plan (RCA-P3-005) and allocate budget and resources for Phase 1 — November to December 2024</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Establish cybersecurity as a standing Board agenda item with quarterly reporting from the appointed CISO</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Commission legal review of Najm, Munich Re, and Swiss Re contracts to initiate cybersecurity clause renegotiation</w:t>
            </w:r>
          </w:p>
        </w:tc>
      </w:tr>
    </w:tbl>
    <w:p>
      <w:pPr>
        <w:spacing w:after="0" w:before="200"/>
      </w:pPr>
      <w:r>
        <w:t xml:space="preserve"/>
      </w:r>
    </w:p>
    <w:tbl>
      <w:tblPr>
        <w:tblW w:type="dxa" w:w="9746"/>
        <w:tblBorders>
          <w:top w:val="none"/>
          <w:left w:val="none"/>
          <w:bottom w:val="none"/>
          <w:right w:val="none"/>
          <w:insideH w:val="single" w:color="auto" w:sz="4"/>
          <w:insideV w:val="single" w:color="auto" w:sz="4"/>
        </w:tblBorders>
      </w:tblPr>
      <w:tblGrid>
        <w:gridCol w:w="9746"/>
      </w:tblGrid>
      <w:tr>
        <w:tc>
          <w:tcPr>
            <w:tcBorders>
              <w:top w:val="single" w:color="C8A951" w:sz="4"/>
              <w:left w:val="single" w:color="C8A951" w:sz="4"/>
              <w:bottom w:val="single" w:color="C8A951" w:sz="4"/>
              <w:right w:val="single" w:color="C8A951" w:sz="4"/>
            </w:tcBorders>
            <w:shd w:fill="EEF1F7" w:val="clear"/>
            <w:tcMar>
              <w:top w:type="dxa" w:w="160"/>
              <w:left w:type="dxa" w:w="240"/>
              <w:bottom w:type="dxa" w:w="160"/>
              <w:right w:type="dxa" w:w="240"/>
            </w:tcMar>
          </w:tcPr>
          <w:p>
            <w:pPr>
              <w:jc w:val="center"/>
            </w:pPr>
            <w:r>
              <w:rPr>
                <w:rFonts w:ascii="Arial" w:cs="Arial" w:eastAsia="Arial" w:hAnsi="Arial"/>
                <w:b/>
                <w:bCs/>
                <w:i w:val="false"/>
                <w:iCs w:val="false"/>
                <w:color w:val="1B2A4A"/>
                <w:sz w:val="20"/>
                <w:szCs w:val="20"/>
              </w:rPr>
              <w:t xml:space="preserve">Auditor Statement</w:t>
            </w:r>
          </w:p>
          <w:p>
            <w:pPr>
              <w:spacing w:after="0" w:before="80"/>
            </w:pPr>
            <w:r>
              <w:t xml:space="preserve"/>
            </w:r>
          </w:p>
          <w:p>
            <w:pPr>
              <w:jc w:val="both"/>
            </w:pPr>
            <w:r>
              <w:rPr>
                <w:rFonts w:ascii="Arial" w:cs="Arial" w:eastAsia="Arial" w:hAnsi="Arial"/>
                <w:b w:val="false"/>
                <w:bCs w:val="false"/>
                <w:i/>
                <w:iCs/>
                <w:color w:val="666666"/>
                <w:sz w:val="20"/>
                <w:szCs w:val="20"/>
              </w:rPr>
              <w:t xml:space="preserve">This audit was conducted independently and in accordance with the engagement scope defined in RCA-P3-001. All findings are based on evidence collected during the fieldwork period of 29 July to 07 August 2024 and validated through stakeholder interviews and document review. The findings reflect the state of controls at the time of the audit. Resolute Compliance Advisory LLP is available to support Al Ameen Insurance Company in interpreting these findings and in planning the remediation programme. The Firm looks forward to reassessing the organisation's cybersecurity posture at the conclusion of the corrective action programme.</w:t>
            </w:r>
          </w:p>
          <w:p>
            <w:pPr>
              <w:spacing w:after="0" w:before="160"/>
            </w:pPr>
            <w:r>
              <w:t xml:space="preserve"/>
            </w:r>
          </w:p>
          <w:p>
            <w:r>
              <w:rPr>
                <w:rFonts w:ascii="Arial" w:cs="Arial" w:eastAsia="Arial" w:hAnsi="Arial"/>
                <w:b/>
                <w:bCs/>
                <w:i w:val="false"/>
                <w:iCs w:val="false"/>
                <w:color w:val="1B2A4A"/>
                <w:sz w:val="20"/>
                <w:szCs w:val="20"/>
              </w:rPr>
              <w:t xml:space="preserve">kay Shahbaaz  |  GRC Auditor  |  Resolute Compliance Advisory LLP  |  31 October 2024</w:t>
            </w:r>
          </w:p>
        </w:tc>
      </w:tr>
    </w:tbl>
    <w:p>
      <w:pPr>
        <w:spacing w:after="0" w:before="10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tabs>
        <w:tab w:val="center" w:pos="4873"/>
        <w:tab w:val="right" w:pos="9746"/>
      </w:tabs>
      <w:spacing w:after="0" w:before="60"/>
    </w:pPr>
    <w:r>
      <w:rPr>
        <w:rFonts w:ascii="Arial" w:cs="Arial" w:eastAsia="Arial" w:hAnsi="Arial"/>
        <w:b w:val="false"/>
        <w:bCs w:val="false"/>
        <w:i w:val="false"/>
        <w:iCs w:val="false"/>
        <w:color w:val="666666"/>
        <w:sz w:val="16"/>
        <w:szCs w:val="16"/>
      </w:rPr>
      <w:t xml:space="preserve">Resolute Compliance Advisory LLP  ·  RCA-P3-006  ·  v1.0</w:t>
    </w:r>
    <w:r>
      <w:rPr>
        <w:rFonts w:ascii="Arial" w:cs="Arial" w:eastAsia="Arial" w:hAnsi="Arial"/>
        <w:sz w:val="16"/>
        <w:szCs w:val="16"/>
      </w:rPr>
      <w:t xml:space="preserve">	</w:t>
    </w:r>
    <w:r>
      <w:rPr>
        <w:rFonts w:ascii="Arial" w:cs="Arial" w:eastAsia="Arial" w:hAnsi="Arial"/>
        <w:b/>
        <w:bCs/>
        <w:i w:val="false"/>
        <w:iCs w:val="false"/>
        <w:color w:val="C8A951"/>
        <w:sz w:val="16"/>
        <w:szCs w:val="16"/>
      </w:rPr>
      <w:t xml:space="preserve">CONFIDENTIAL</w:t>
    </w:r>
    <w:r>
      <w:rPr>
        <w:rFonts w:ascii="Arial" w:cs="Arial" w:eastAsia="Arial" w:hAnsi="Arial"/>
        <w:sz w:val="16"/>
        <w:szCs w:val="16"/>
      </w:rPr>
      <w:t xml:space="preserve">	</w:t>
    </w:r>
    <w:r>
      <w:rPr>
        <w:rFonts w:ascii="Arial" w:cs="Arial" w:eastAsia="Arial" w:hAnsi="Arial"/>
        <w:b w:val="false"/>
        <w:bCs w:val="false"/>
        <w:i w:val="false"/>
        <w:iCs w:val="false"/>
        <w:color w:val="666666"/>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51" w:sz="6" w:space="4"/>
      </w:pBdr>
      <w:tabs>
        <w:tab w:val="right" w:pos="9746"/>
      </w:tabs>
      <w:spacing w:after="60" w:before="0"/>
    </w:pPr>
    <w:r>
      <w:rPr>
        <w:rFonts w:ascii="Arial" w:cs="Arial" w:eastAsia="Arial" w:hAnsi="Arial"/>
        <w:b/>
        <w:bCs/>
        <w:i w:val="false"/>
        <w:iCs w:val="false"/>
        <w:color w:val="1B2A4A"/>
        <w:sz w:val="20"/>
        <w:szCs w:val="20"/>
      </w:rPr>
      <w:t xml:space="preserve">RESOLUTE</w:t>
    </w:r>
    <w:r>
      <w:rPr>
        <w:rFonts w:ascii="Arial" w:cs="Arial" w:eastAsia="Arial" w:hAnsi="Arial"/>
        <w:b w:val="false"/>
        <w:bCs w:val="false"/>
        <w:i w:val="false"/>
        <w:iCs w:val="false"/>
        <w:color w:val="C8A951"/>
        <w:sz w:val="18"/>
        <w:szCs w:val="18"/>
      </w:rPr>
      <w:t xml:space="preserve">  COMPLIANCE ADVISORY  LLP</w:t>
    </w:r>
    <w:r>
      <w:rPr>
        <w:rFonts w:ascii="Arial" w:cs="Arial" w:eastAsia="Arial" w:hAnsi="Arial"/>
        <w:sz w:val="18"/>
        <w:szCs w:val="18"/>
      </w:rPr>
      <w:t xml:space="preserve">	</w:t>
    </w:r>
    <w:r>
      <w:rPr>
        <w:rFonts w:ascii="Arial" w:cs="Arial" w:eastAsia="Arial" w:hAnsi="Arial"/>
        <w:b/>
        <w:bCs/>
        <w:i w:val="false"/>
        <w:iCs w:val="false"/>
        <w:color w:val="C8A951"/>
        <w:sz w:val="16"/>
        <w:szCs w:val="16"/>
      </w:rPr>
      <w:t xml:space="preserve">CONFIDENTIAL</w:t>
    </w:r>
  </w:p>
  <w:p>
    <w:pPr>
      <w:spacing w:after="0" w:before="4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A951" w:sz="4" w:space="4"/>
      </w:pBdr>
      <w:spacing w:after="160" w:before="300"/>
      <w:outlineLvl w:val="0"/>
    </w:pPr>
    <w:rPr>
      <w:rFonts w:ascii="Arial" w:cs="Arial" w:eastAsia="Arial" w:hAnsi="Arial"/>
      <w:b/>
      <w:bCs/>
      <w:color w:val="1B2A4A"/>
      <w:sz w:val="26"/>
      <w:szCs w:val="26"/>
    </w:rPr>
  </w:style>
  <w:style w:type="paragraph" w:styleId="Heading2">
    <w:name w:val="Heading 2"/>
    <w:basedOn w:val="Normal"/>
    <w:next w:val="Normal"/>
    <w:qFormat/>
    <w:pPr>
      <w:spacing w:after="100" w:before="220"/>
      <w:outlineLvl w:val="1"/>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2026-06-24T18:14:19.412Z</dcterms:created>
  <dcterms:modified xsi:type="dcterms:W3CDTF">2026-06-24T18:14:19.429Z</dcterms:modified>
</cp:coreProperties>
</file>

<file path=docProps/custom.xml><?xml version="1.0" encoding="utf-8"?>
<Properties xmlns="http://schemas.openxmlformats.org/officeDocument/2006/custom-properties" xmlns:vt="http://schemas.openxmlformats.org/officeDocument/2006/docPropsVTypes"/>
</file>