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pPr>
              <w:spacing w:after="20" w:before="80"/>
              <w:jc w:val="left"/>
            </w:pPr>
            <w:r>
              <w:rPr>
                <w:rFonts w:ascii="Arial" w:cs="Arial" w:eastAsia="Arial" w:hAnsi="Arial"/>
                <w:b/>
                <w:bCs/>
                <w:i w:val="false"/>
                <w:iCs w:val="false"/>
                <w:color w:val="FFFFFF"/>
                <w:sz w:val="32"/>
                <w:szCs w:val="32"/>
              </w:rPr>
              <w:t xml:space="preserve">RESOLUTE</w:t>
            </w:r>
            <w:r>
              <w:rPr>
                <w:rFonts w:ascii="Arial" w:cs="Arial" w:eastAsia="Arial" w:hAnsi="Arial"/>
                <w:b w:val="false"/>
                <w:bCs w:val="false"/>
                <w:i w:val="false"/>
                <w:iCs w:val="false"/>
                <w:color w:val="C8A951"/>
                <w:sz w:val="20"/>
                <w:szCs w:val="20"/>
              </w:rPr>
              <w:t xml:space="preserve">  COMPLIANCE ADVISORY  LLP</w:t>
            </w:r>
          </w:p>
          <w:p>
            <w:pPr>
              <w:spacing w:after="80" w:before="0"/>
              <w:jc w:val="left"/>
            </w:pPr>
            <w:r>
              <w:rPr>
                <w:rFonts w:ascii="Arial" w:cs="Arial" w:eastAsia="Arial" w:hAnsi="Arial"/>
                <w:b w:val="false"/>
                <w:bCs w:val="false"/>
                <w:i/>
                <w:iCs/>
                <w:color w:val="EEF1F7"/>
                <w:sz w:val="16"/>
                <w:szCs w:val="16"/>
              </w:rPr>
              <w:t xml:space="preserve">Governance  ·  Risk  ·  Compliance</w:t>
            </w:r>
          </w:p>
        </w:tc>
      </w:tr>
    </w:tbl>
    <w:p>
      <w:pPr>
        <w:spacing w:after="60" w:before="6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p>
      <w:pPr>
        <w:spacing w:after="20" w:before="40"/>
        <w:jc w:val="center"/>
      </w:pPr>
      <w:r>
        <w:rPr>
          <w:rFonts w:ascii="Arial" w:cs="Arial" w:eastAsia="Arial" w:hAnsi="Arial"/>
          <w:b/>
          <w:bCs/>
          <w:i w:val="false"/>
          <w:iCs w:val="false"/>
          <w:color w:val="1B2A4A"/>
          <w:sz w:val="32"/>
          <w:szCs w:val="32"/>
        </w:rPr>
        <w:t xml:space="preserve">ENGAGEMENT LETTER</w:t>
      </w:r>
    </w:p>
    <w:p>
      <w:pPr>
        <w:spacing w:after="80" w:before="0"/>
        <w:jc w:val="center"/>
      </w:pPr>
      <w:r>
        <w:rPr>
          <w:rFonts w:ascii="Arial" w:cs="Arial" w:eastAsia="Arial" w:hAnsi="Arial"/>
          <w:b w:val="false"/>
          <w:bCs w:val="false"/>
          <w:i/>
          <w:iCs/>
          <w:color w:val="666666"/>
          <w:sz w:val="22"/>
          <w:szCs w:val="22"/>
        </w:rPr>
        <w:t xml:space="preserve">Engagement Letter &amp; Scope of Work</w:t>
      </w:r>
    </w:p>
    <w:p>
      <w:pPr>
        <w:pBdr>
          <w:bottom w:val="single" w:color="C8A951" w:sz="6" w:space="1"/>
        </w:pBdr>
        <w:spacing w:after="40" w:before="40"/>
      </w:pPr>
      <w:r>
        <w:rPr>
          <w:rFonts w:ascii="Arial" w:cs="Arial" w:eastAsia="Arial" w:hAnsi="Arial"/>
          <w:b w:val="false"/>
          <w:bCs w:val="false"/>
          <w:i w:val="false"/>
          <w:iCs w:val="false"/>
          <w:color w:val="1A1A1A"/>
          <w:sz w:val="20"/>
          <w:szCs w:val="20"/>
        </w:rPr>
        <w:t xml:space="preserve"/>
      </w:r>
    </w:p>
    <w:p>
      <w:pPr>
        <w:spacing w:after="60" w:before="6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8A951" w:sz="6"/>
              <w:left w:val="single" w:color="C8A951" w:sz="6"/>
              <w:bottom w:val="single" w:color="C8A951" w:sz="6"/>
              <w:right w:val="single" w:color="C8A951" w:sz="6"/>
            </w:tcBorders>
            <w:shd w:fill="EEF1F7" w:val="clear"/>
            <w:tcMar>
              <w:top w:type="dxa" w:w="80"/>
              <w:left w:type="dxa" w:w="120"/>
              <w:bottom w:type="dxa" w:w="80"/>
              <w:right w:type="dxa" w:w="120"/>
            </w:tcMar>
            <w:vAlign w:val="top"/>
          </w:tcPr>
          <w:p>
            <w:pPr>
              <w:spacing w:after="30" w:before="80"/>
              <w:jc w:val="left"/>
            </w:pPr>
            <w:r>
              <w:rPr>
                <w:rFonts w:ascii="Arial" w:cs="Arial" w:eastAsia="Arial" w:hAnsi="Arial"/>
                <w:b w:val="false"/>
                <w:bCs w:val="false"/>
                <w:i/>
                <w:iCs/>
                <w:color w:val="666666"/>
                <w:sz w:val="16"/>
                <w:szCs w:val="16"/>
              </w:rPr>
              <w:t xml:space="preserve">Prepared for</w:t>
            </w:r>
          </w:p>
          <w:p>
            <w:pPr>
              <w:spacing w:after="20" w:before="0"/>
              <w:jc w:val="left"/>
            </w:pPr>
            <w:r>
              <w:rPr>
                <w:rFonts w:ascii="Arial" w:cs="Arial" w:eastAsia="Arial" w:hAnsi="Arial"/>
                <w:b/>
                <w:bCs/>
                <w:i w:val="false"/>
                <w:iCs w:val="false"/>
                <w:color w:val="1B2A4A"/>
                <w:sz w:val="24"/>
                <w:szCs w:val="24"/>
              </w:rPr>
              <w:t xml:space="preserve">Medlink India Pvt. Ltd.</w:t>
            </w:r>
          </w:p>
          <w:p>
            <w:pPr>
              <w:spacing w:after="20" w:before="0"/>
              <w:jc w:val="left"/>
            </w:pPr>
            <w:r>
              <w:rPr>
                <w:rFonts w:ascii="Arial" w:cs="Arial" w:eastAsia="Arial" w:hAnsi="Arial"/>
                <w:b w:val="false"/>
                <w:bCs w:val="false"/>
                <w:i w:val="false"/>
                <w:iCs w:val="false"/>
                <w:color w:val="666666"/>
                <w:sz w:val="18"/>
                <w:szCs w:val="18"/>
              </w:rPr>
              <w:t xml:space="preserve">Healthtech  ·  Mumbai, India</w:t>
            </w:r>
          </w:p>
          <w:p>
            <w:pPr>
              <w:spacing w:after="80" w:before="0"/>
              <w:jc w:val="left"/>
            </w:pPr>
            <w:r>
              <w:rPr>
                <w:rFonts w:ascii="Arial" w:cs="Arial" w:eastAsia="Arial" w:hAnsi="Arial"/>
                <w:b w:val="false"/>
                <w:bCs w:val="false"/>
                <w:i w:val="false"/>
                <w:iCs w:val="false"/>
                <w:color w:val="666666"/>
                <w:sz w:val="18"/>
                <w:szCs w:val="18"/>
              </w:rPr>
              <w:t xml:space="preserve">Engagement Period: 10 March 2024 – 30 June 2024</w:t>
            </w:r>
          </w:p>
        </w:tc>
      </w:tr>
    </w:tbl>
    <w:p>
      <w:pPr>
        <w:spacing w:after="80" w:before="8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85"/>
        <w:gridCol w:w="2436"/>
        <w:gridCol w:w="2925"/>
      </w:tblGrid>
      <w:tr>
        <w:tc>
          <w:tcPr>
            <w:tcW w:type="dxa" w:w="4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Prepared by</w:t>
            </w:r>
          </w:p>
          <w:p>
            <w:pPr>
              <w:spacing w:after="20" w:before="0"/>
              <w:jc w:val="left"/>
            </w:pPr>
            <w:r>
              <w:rPr>
                <w:rFonts w:ascii="Arial" w:cs="Arial" w:eastAsia="Arial" w:hAnsi="Arial"/>
                <w:b/>
                <w:bCs/>
                <w:i w:val="false"/>
                <w:iCs w:val="false"/>
                <w:color w:val="1B2A4A"/>
                <w:sz w:val="18"/>
                <w:szCs w:val="18"/>
              </w:rPr>
              <w:t xml:space="preserve">kay Shahbaaz</w:t>
            </w:r>
          </w:p>
          <w:p>
            <w:pPr>
              <w:spacing w:after="60" w:before="0"/>
              <w:jc w:val="left"/>
            </w:pPr>
            <w:r>
              <w:rPr>
                <w:rFonts w:ascii="Arial" w:cs="Arial" w:eastAsia="Arial" w:hAnsi="Arial"/>
                <w:b w:val="false"/>
                <w:bCs w:val="false"/>
                <w:i w:val="false"/>
                <w:iCs w:val="false"/>
                <w:color w:val="666666"/>
                <w:sz w:val="16"/>
                <w:szCs w:val="16"/>
              </w:rPr>
              <w:t xml:space="preserve">GRC Analyst</w:t>
            </w:r>
          </w:p>
        </w:tc>
        <w:tc>
          <w:tcPr>
            <w:tcW w:type="dxa" w:w="243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Date</w:t>
            </w:r>
          </w:p>
          <w:p>
            <w:pPr>
              <w:spacing w:after="60" w:before="0"/>
              <w:jc w:val="left"/>
            </w:pPr>
            <w:r>
              <w:rPr>
                <w:rFonts w:ascii="Arial" w:cs="Arial" w:eastAsia="Arial" w:hAnsi="Arial"/>
                <w:b/>
                <w:bCs/>
                <w:i w:val="false"/>
                <w:iCs w:val="false"/>
                <w:color w:val="1B2A4A"/>
                <w:sz w:val="18"/>
                <w:szCs w:val="18"/>
              </w:rPr>
              <w:t xml:space="preserve">10 March 2024</w:t>
            </w:r>
          </w:p>
        </w:tc>
        <w:tc>
          <w:tcPr>
            <w:tcW w:type="dxa" w:w="292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 w:before="60"/>
              <w:jc w:val="left"/>
            </w:pPr>
            <w:r>
              <w:rPr>
                <w:rFonts w:ascii="Arial" w:cs="Arial" w:eastAsia="Arial" w:hAnsi="Arial"/>
                <w:b w:val="false"/>
                <w:bCs w:val="false"/>
                <w:i/>
                <w:iCs/>
                <w:color w:val="666666"/>
                <w:sz w:val="14"/>
                <w:szCs w:val="14"/>
              </w:rPr>
              <w:t xml:space="preserve">Document Ref</w:t>
            </w:r>
          </w:p>
          <w:p>
            <w:pPr>
              <w:spacing w:after="60" w:before="0"/>
              <w:jc w:val="left"/>
            </w:pPr>
            <w:r>
              <w:rPr>
                <w:rFonts w:ascii="Arial" w:cs="Arial" w:eastAsia="Arial" w:hAnsi="Arial"/>
                <w:b/>
                <w:bCs/>
                <w:i w:val="false"/>
                <w:iCs w:val="false"/>
                <w:color w:val="1B2A4A"/>
                <w:sz w:val="18"/>
                <w:szCs w:val="18"/>
              </w:rPr>
              <w:t xml:space="preserve">RCA-P2-001</w:t>
            </w:r>
          </w:p>
        </w:tc>
      </w:tr>
    </w:tbl>
    <w:p>
      <w:pPr>
        <w:spacing w:after="100" w:before="100"/>
      </w:pPr>
      <w:r>
        <w:rPr>
          <w:rFonts w:ascii="Arial" w:cs="Arial" w:eastAsia="Arial" w:hAnsi="Arial"/>
          <w:b w:val="false"/>
          <w:bCs w:val="false"/>
          <w:i w:val="false"/>
          <w:iCs w:val="false"/>
          <w:color w:val="1A1A1A"/>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2A4A" w:sz="8"/>
              <w:left w:val="single" w:color="1B2A4A" w:sz="8"/>
              <w:bottom w:val="single" w:color="1B2A4A" w:sz="8"/>
              <w:right w:val="single" w:color="1B2A4A" w:sz="8"/>
            </w:tcBorders>
            <w:shd w:fill="EEF1F7" w:val="clear"/>
            <w:tcMar>
              <w:top w:type="dxa" w:w="80"/>
              <w:left w:type="dxa" w:w="120"/>
              <w:bottom w:type="dxa" w:w="80"/>
              <w:right w:type="dxa" w:w="120"/>
            </w:tcMar>
            <w:vAlign w:val="top"/>
          </w:tcPr>
          <w:p>
            <w:pPr>
              <w:spacing w:after="30" w:before="60"/>
              <w:jc w:val="center"/>
            </w:pPr>
            <w:r>
              <w:rPr>
                <w:rFonts w:ascii="Arial" w:cs="Arial" w:eastAsia="Arial" w:hAnsi="Arial"/>
                <w:b/>
                <w:bCs/>
                <w:i w:val="false"/>
                <w:iCs w:val="false"/>
                <w:color w:val="1B2A4A"/>
                <w:sz w:val="18"/>
                <w:szCs w:val="18"/>
              </w:rPr>
              <w:t xml:space="preserve">CONFIDENTIALITY NOTICE</w:t>
            </w:r>
          </w:p>
          <w:p>
            <w:pPr>
              <w:spacing w:after="60" w:before="0"/>
              <w:jc w:val="left"/>
            </w:pPr>
            <w:r>
              <w:rPr>
                <w:rFonts w:ascii="Arial" w:cs="Arial" w:eastAsia="Arial" w:hAnsi="Arial"/>
                <w:b w:val="false"/>
                <w:bCs w:val="false"/>
                <w:i/>
                <w:iCs/>
                <w:color w:val="666666"/>
                <w:sz w:val="18"/>
                <w:szCs w:val="18"/>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pPr>
        <w:sectPr>
          <w:pgSz w:w="11906" w:h="16838" w:orient="portrait"/>
          <w:pgMar w:top="1080" w:right="1080" w:bottom="1080" w:left="1080" w:header="708" w:footer="708" w:gutter="0"/>
          <w:pgNumType/>
          <w:docGrid w:linePitch="360"/>
        </w:sectPr>
      </w:pPr>
    </w:p>
    <w:p>
      <w:pPr>
        <w:pStyle w:val="Heading1"/>
        <w:spacing w:after="120" w:before="280"/>
      </w:pPr>
      <w:r>
        <w:rPr>
          <w:rFonts w:ascii="Arial" w:cs="Arial" w:eastAsia="Arial" w:hAnsi="Arial"/>
          <w:b/>
          <w:bCs/>
          <w:i w:val="false"/>
          <w:iCs w:val="false"/>
          <w:color w:val="1B2A4A"/>
          <w:sz w:val="26"/>
          <w:szCs w:val="26"/>
        </w:rP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c>
          <w:tcPr>
            <w:tcW w:type="dxa" w:w="3411"/>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Field</w:t>
            </w:r>
          </w:p>
        </w:tc>
        <w:tc>
          <w:tcPr>
            <w:tcW w:type="dxa" w:w="6335"/>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Details</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Document Title</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Engagement Letter &amp; Scope of Work</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Document Ref</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RCA-P2-001</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Client</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Medlink India Pvt. Ltd.</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Project</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ISO 27001:2022 + GDPR + DPDP Act 2023 Compliance Assessment</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Prepared by</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kay Shahbaaz</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Reviewed by</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Resolute Compliance Advisory LLP</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Date</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10 March 2024</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Version</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v1.0</w:t>
            </w:r>
          </w:p>
        </w:tc>
      </w:tr>
      <w:tr>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Classification</w:t>
            </w:r>
          </w:p>
        </w:tc>
        <w:tc>
          <w:tcPr>
            <w:tcW w:type="dxa" w:w="633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CONFIDENTIAL</w:t>
            </w:r>
          </w:p>
        </w:tc>
      </w:tr>
      <w:tr>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20"/>
                <w:szCs w:val="20"/>
              </w:rPr>
              <w:t xml:space="preserve">Status</w:t>
            </w:r>
          </w:p>
        </w:tc>
        <w:tc>
          <w:tcPr>
            <w:tcW w:type="dxa" w:w="633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20"/>
                <w:szCs w:val="20"/>
              </w:rPr>
              <w:t xml:space="preserve">Final</w:t>
            </w:r>
          </w:p>
        </w:tc>
      </w:tr>
    </w:tbl>
    <w:p>
      <w:r>
        <w:br w:type="page"/>
      </w:r>
    </w:p>
    <w:p>
      <w:pPr>
        <w:pStyle w:val="Heading1"/>
        <w:spacing w:after="120" w:before="280"/>
      </w:pPr>
      <w:r>
        <w:rPr>
          <w:rFonts w:ascii="Arial" w:cs="Arial" w:eastAsia="Arial" w:hAnsi="Arial"/>
          <w:b/>
          <w:bCs/>
          <w:i w:val="false"/>
          <w:iCs w:val="false"/>
          <w:color w:val="1B2A4A"/>
          <w:sz w:val="26"/>
          <w:szCs w:val="26"/>
        </w:rPr>
        <w:t xml:space="preserve">1.  Introduction</w:t>
      </w:r>
    </w:p>
    <w:p>
      <w:pPr>
        <w:spacing w:after="80" w:before="80"/>
        <w:jc w:val="left"/>
      </w:pPr>
      <w:r>
        <w:rPr>
          <w:rFonts w:ascii="Arial" w:cs="Arial" w:eastAsia="Arial" w:hAnsi="Arial"/>
          <w:b w:val="false"/>
          <w:bCs w:val="false"/>
          <w:i w:val="false"/>
          <w:iCs w:val="false"/>
          <w:color w:val="1A1A1A"/>
          <w:sz w:val="20"/>
          <w:szCs w:val="20"/>
        </w:rPr>
        <w:t xml:space="preserve">This document serves as the formal Engagement Letter and Scope of Work between Resolute Compliance Advisory LLP (hereinafter referred to as "the Firm") and Medlink India Pvt. Ltd. (hereinafter referred to as "the Client"). It defines the objectives, scope, deliverables, roles, responsibilities, and timeline for the ISO 27001:2022 Gap Assessment and GDPR / India Digital Personal Data Protection Act 2023 (DPDP) Compliance Review engagement.</w:t>
      </w:r>
    </w:p>
    <w:p>
      <w:pPr>
        <w:pStyle w:val="Heading2"/>
        <w:spacing w:after="80" w:before="200"/>
      </w:pPr>
      <w:r>
        <w:rPr>
          <w:rFonts w:ascii="Arial" w:cs="Arial" w:eastAsia="Arial" w:hAnsi="Arial"/>
          <w:b/>
          <w:bCs/>
          <w:i w:val="false"/>
          <w:iCs w:val="false"/>
          <w:color w:val="1B2A4A"/>
          <w:sz w:val="22"/>
          <w:szCs w:val="22"/>
        </w:rPr>
        <w:t xml:space="preserve">1.1  Engagement Overview</w:t>
      </w:r>
    </w:p>
    <w:p>
      <w:pPr>
        <w:spacing w:after="60" w:before="60"/>
        <w:jc w:val="left"/>
      </w:pPr>
      <w:r>
        <w:rPr>
          <w:rFonts w:ascii="Arial" w:cs="Arial" w:eastAsia="Arial" w:hAnsi="Arial"/>
          <w:b w:val="false"/>
          <w:bCs w:val="false"/>
          <w:i w:val="false"/>
          <w:iCs w:val="false"/>
          <w:color w:val="1A1A1A"/>
          <w:sz w:val="20"/>
          <w:szCs w:val="20"/>
        </w:rPr>
        <w:t xml:space="preserve">Medlink India Pvt. Ltd. is a healthtech company headquartered in Mumbai, India, operating a cloud-based Electronic Medical Records (EMR) and hospital management platform. The Client serves approximately 120 private hospitals and clinics across India, the United Kingdom, and the United Arab Emirates. Its platform processes personal data and sensitive health information of patients across multiple jurisdictions.</w:t>
      </w:r>
    </w:p>
    <w:p>
      <w:pPr>
        <w:spacing w:after="60" w:before="60"/>
        <w:jc w:val="left"/>
      </w:pPr>
      <w:r>
        <w:rPr>
          <w:rFonts w:ascii="Arial" w:cs="Arial" w:eastAsia="Arial" w:hAnsi="Arial"/>
          <w:b w:val="false"/>
          <w:bCs w:val="false"/>
          <w:i w:val="false"/>
          <w:iCs w:val="false"/>
          <w:color w:val="1A1A1A"/>
          <w:sz w:val="20"/>
          <w:szCs w:val="20"/>
        </w:rPr>
        <w:t xml:space="preserve">To fulfil the compliance obligations arising from its UK-based client relationships — which trigger the UK General Data Protection Regulation (UK GDPR) — and to prepare for enforcement of the Digital Personal Data Protection Act 2023 (DPDP Act) in India, Medlink has engaged Resolute Compliance Advisory LLP to conduct a comprehensive assessment of its information security posture against the ISO 27001:2022 standard and its data protection practices against the requirements of both the UK GDPR and the DPDP Act.</w:t>
      </w:r>
    </w:p>
    <w:p>
      <w:pPr>
        <w:spacing w:after="80" w:before="60"/>
        <w:jc w:val="left"/>
      </w:pPr>
      <w:r>
        <w:rPr>
          <w:rFonts w:ascii="Arial" w:cs="Arial" w:eastAsia="Arial" w:hAnsi="Arial"/>
          <w:b w:val="false"/>
          <w:bCs w:val="false"/>
          <w:i w:val="false"/>
          <w:iCs w:val="false"/>
          <w:color w:val="1A1A1A"/>
          <w:sz w:val="20"/>
          <w:szCs w:val="20"/>
        </w:rPr>
        <w:t xml:space="preserve">The engagement is structured as a gap assessment and compliance review. It does not constitute a certification audit or a legal opinion. The findings and recommendations set out in the deliverables are intended to support the Client in building a legally compliant and security-mature information governance programme.</w:t>
      </w:r>
    </w:p>
    <w:p>
      <w:pPr>
        <w:pStyle w:val="Heading2"/>
        <w:spacing w:after="80" w:before="200"/>
      </w:pPr>
      <w:r>
        <w:rPr>
          <w:rFonts w:ascii="Arial" w:cs="Arial" w:eastAsia="Arial" w:hAnsi="Arial"/>
          <w:b/>
          <w:bCs/>
          <w:i w:val="false"/>
          <w:iCs w:val="false"/>
          <w:color w:val="1B2A4A"/>
          <w:sz w:val="22"/>
          <w:szCs w:val="22"/>
        </w:rPr>
        <w:t xml:space="preserve">1.2  Client Background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8"/>
        <w:gridCol w:w="6628"/>
      </w:tblGrid>
      <w:tr>
        <w:tc>
          <w:tcPr>
            <w:tcW w:type="dxa" w:w="311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Attribute</w:t>
            </w:r>
          </w:p>
        </w:tc>
        <w:tc>
          <w:tcPr>
            <w:tcW w:type="dxa" w:w="662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Detail</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Company</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India Pvt. Ltd.</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Industry</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Healthtech — SaaS Electronic Medical Records Platform</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Headquarters</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Powai, Mumbai, Maharashtra, India</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Employees</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Approximately 280</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Client Base</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~120 hospitals and clinics (India, UK, UAE)</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Data Subjects</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Patients across India, United Kingdom, and UAE</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Cloud Infrastructure</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AWS Mumbai Region (primary); AWS London Region (UK client data)</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Identity Management</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Microsoft Azure Active Directory (MFA enforced)</w:t>
            </w:r>
          </w:p>
        </w:tc>
      </w:tr>
      <w:tr>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Development</w:t>
            </w:r>
          </w:p>
        </w:tc>
        <w:tc>
          <w:tcPr>
            <w:tcW w:type="dxa" w:w="66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In-house engineering team of 60; CI/CD via GitHub Actions; AWS EKS</w:t>
            </w:r>
          </w:p>
        </w:tc>
      </w:tr>
      <w:tr>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Regulatory Exposure</w:t>
            </w:r>
          </w:p>
        </w:tc>
        <w:tc>
          <w:tcPr>
            <w:tcW w:type="dxa" w:w="66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ISO 27001:2022 (information security); UK GDPR (UK data subjects); DPDP Act 2023 (Indian data subjects)</w:t>
            </w:r>
          </w:p>
        </w:tc>
      </w:tr>
    </w:tbl>
    <w:p>
      <w:pPr>
        <w:spacing w:after="80" w:before="8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1.3  Regulatory Context</w:t>
      </w:r>
    </w:p>
    <w:p>
      <w:pPr>
        <w:spacing w:after="40" w:before="60"/>
        <w:jc w:val="left"/>
      </w:pPr>
      <w:r>
        <w:rPr>
          <w:rFonts w:ascii="Arial" w:cs="Arial" w:eastAsia="Arial" w:hAnsi="Arial"/>
          <w:b w:val="false"/>
          <w:bCs w:val="false"/>
          <w:i w:val="false"/>
          <w:iCs w:val="false"/>
          <w:color w:val="1A1A1A"/>
          <w:sz w:val="20"/>
          <w:szCs w:val="20"/>
        </w:rPr>
        <w:t xml:space="preserve">This engagement addresses the intersection of three distinct compliance frameworks applicable to the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3118"/>
        <w:gridCol w:w="3900"/>
      </w:tblGrid>
      <w:tr>
        <w:tc>
          <w:tcPr>
            <w:tcW w:type="dxa" w:w="272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Framework</w:t>
            </w:r>
          </w:p>
        </w:tc>
        <w:tc>
          <w:tcPr>
            <w:tcW w:type="dxa" w:w="311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Applicability to Medlink</w:t>
            </w:r>
          </w:p>
        </w:tc>
        <w:tc>
          <w:tcPr>
            <w:tcW w:type="dxa" w:w="39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Trigger</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ISO 27001:2022</w:t>
            </w:r>
          </w:p>
        </w:tc>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Organisational readiness; client contractual expectation; certification objective</w:t>
            </w:r>
          </w:p>
        </w:tc>
        <w:tc>
          <w:tcPr>
            <w:tcW w:type="dxa" w:w="3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UK clinic clients require ISO 27001 or equivalent information security assurance</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UK GDPR</w:t>
            </w:r>
          </w:p>
        </w:tc>
        <w:tc>
          <w:tcPr>
            <w:tcW w:type="dxa" w:w="311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Processing of UK data subjects' personal and health data on behalf of NHS-affiliated clinic clients</w:t>
            </w:r>
          </w:p>
        </w:tc>
        <w:tc>
          <w:tcPr>
            <w:tcW w:type="dxa" w:w="3900"/>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Medlink acts as a data processor for UK-based healthcare providers; AWS London region hosts UK patient data</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DPDP Act 2023 (India)</w:t>
            </w:r>
          </w:p>
        </w:tc>
        <w:tc>
          <w:tcPr>
            <w:tcW w:type="dxa" w:w="31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Processing of Indian patients' personal data; applicable from enactment (August 2023)</w:t>
            </w:r>
          </w:p>
        </w:tc>
        <w:tc>
          <w:tcPr>
            <w:tcW w:type="dxa" w:w="3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All Indian patient data processed by the Medlink EMR platform falls within scope of the Act</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1"/>
        <w:spacing w:after="120" w:before="280"/>
      </w:pPr>
      <w:r>
        <w:rPr>
          <w:rFonts w:ascii="Arial" w:cs="Arial" w:eastAsia="Arial" w:hAnsi="Arial"/>
          <w:b/>
          <w:bCs/>
          <w:i w:val="false"/>
          <w:iCs w:val="false"/>
          <w:color w:val="1B2A4A"/>
          <w:sz w:val="26"/>
          <w:szCs w:val="26"/>
        </w:rPr>
        <w:t xml:space="preserve">2.  Scope of Work</w:t>
      </w:r>
    </w:p>
    <w:p>
      <w:pPr>
        <w:spacing w:after="40" w:before="60"/>
        <w:jc w:val="left"/>
      </w:pPr>
      <w:r>
        <w:rPr>
          <w:rFonts w:ascii="Arial" w:cs="Arial" w:eastAsia="Arial" w:hAnsi="Arial"/>
          <w:b w:val="false"/>
          <w:bCs w:val="false"/>
          <w:i w:val="false"/>
          <w:iCs w:val="false"/>
          <w:color w:val="1A1A1A"/>
          <w:sz w:val="20"/>
          <w:szCs w:val="20"/>
        </w:rPr>
        <w:t xml:space="preserve">The scope of this engagement covers the following assessment activities:</w:t>
      </w:r>
    </w:p>
    <w:p>
      <w:pPr>
        <w:pStyle w:val="Heading2"/>
        <w:spacing w:after="80" w:before="200"/>
      </w:pPr>
      <w:r>
        <w:rPr>
          <w:rFonts w:ascii="Arial" w:cs="Arial" w:eastAsia="Arial" w:hAnsi="Arial"/>
          <w:b/>
          <w:bCs/>
          <w:i w:val="false"/>
          <w:iCs w:val="false"/>
          <w:color w:val="1B2A4A"/>
          <w:sz w:val="22"/>
          <w:szCs w:val="22"/>
        </w:rPr>
        <w:t xml:space="preserve">2.1  ISO 27001:2022 Gap Assessment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Assessment of information security controls against all 93 controls in ISO 27001:2022 Annex A, organised across four themes: Organisational Controls (A.5), People Controls (A.6), Physical Controls (A.7), and Technological Controls (A.8).</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Evaluation of the Client's ISMS readiness against the requirements of Clauses 4 through 10 of ISO 27001:2022, including context of the organisation, leadership, planning, support, operation, performance evaluation, and improvement.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Review of existing information security policies, procedures, and documentation for alignment with the standard.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Identification of gaps and non-conformities with detailed findings, root cause analysis, and control-level recommendations.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Development of a prioritised remediation roadmap with phased actions, ownership assignments, and target timelines.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Preparation of the Statement of Applicability (SoA) for ISO 27001:2022, documenting all 93 Annex A controls, their applicability, and justification.</w:t>
      </w:r>
    </w:p>
    <w:p>
      <w:pPr>
        <w:spacing w:after="40" w:before="4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2.2  Data Protection Compliance Assessment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Assessment of the Client's personal data processing activities against the requirements of the UK General Data Protection Regulation (UK GDPR), with particular attention to: lawful basis for processing health data (Article 9); data processor obligations under Article 28; Data Protection Impact Assessment requirements under Article 35; appointment and responsibilities of a Data Protection Officer under Article 37; and data subject rights fulfilment.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Assessment of the Client's personal data processing activities against the requirements of the Digital Personal Data Protection Act 2023 (DPDP Act), specifically: consent obligations under Section 6; Data Principal rights under Sections 11–13; breach notification requirements under Section 8(6); and appointment of a Grievance Officer under Section 13(3).</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Identification and documentation of compliance gaps under each framework, with cross-referenced findings where the same gap triggers obligations under both the UK GDPR and the DPDP Act.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Analysis of jurisdictional tensions arising from the dual regulatory scope — specifically in the areas of consent legal basis, breach notification timelines, and data retention obligations.</w:t>
      </w:r>
    </w:p>
    <w:p>
      <w:pPr>
        <w:spacing w:after="40" w:before="4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2.3  Supporting Deliverables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Records of Processing Activities (RoPA) documenting all identified personal data processing activities, legal bases, data subjects, categories of data, retention periods, and international transfers.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ISO 27001:2022 Statement of Applicability (SoA) — all 93 Annex A controls with applicability determination, implementation status, and justification.</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Information Security Risk Register — all identified risks assessed using a Likelihood × Impact methodology (1–5 scale), with risk treatment decisions and residual risk ratings.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Remediation Roadmap — prioritised action plan with phased timelines, responsible owners, and success criteria.</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Executive Summary — management-level overview of findings, risk ratings, and recommended programme of work.</w:t>
      </w:r>
    </w:p>
    <w:p>
      <w:pPr>
        <w:spacing w:after="60" w:before="60"/>
      </w:pPr>
      <w:r>
        <w:rPr>
          <w:rFonts w:ascii="Arial" w:cs="Arial" w:eastAsia="Arial" w:hAnsi="Arial"/>
          <w:b w:val="false"/>
          <w:bCs w:val="false"/>
          <w:i w:val="false"/>
          <w:iCs w:val="false"/>
          <w:color w:val="1A1A1A"/>
          <w:sz w:val="20"/>
          <w:szCs w:val="20"/>
        </w:rPr>
        <w:t xml:space="preserve"/>
      </w:r>
    </w:p>
    <w:p>
      <w:pPr>
        <w:pStyle w:val="Heading1"/>
        <w:spacing w:after="120" w:before="280"/>
      </w:pPr>
      <w:r>
        <w:rPr>
          <w:rFonts w:ascii="Arial" w:cs="Arial" w:eastAsia="Arial" w:hAnsi="Arial"/>
          <w:b/>
          <w:bCs/>
          <w:i w:val="false"/>
          <w:iCs w:val="false"/>
          <w:color w:val="1B2A4A"/>
          <w:sz w:val="26"/>
          <w:szCs w:val="26"/>
        </w:rPr>
        <w:t xml:space="preserve">3.  Out of Scope</w:t>
      </w:r>
    </w:p>
    <w:p>
      <w:pPr>
        <w:spacing w:after="40" w:before="60"/>
        <w:jc w:val="left"/>
      </w:pPr>
      <w:r>
        <w:rPr>
          <w:rFonts w:ascii="Arial" w:cs="Arial" w:eastAsia="Arial" w:hAnsi="Arial"/>
          <w:b w:val="false"/>
          <w:bCs w:val="false"/>
          <w:i w:val="false"/>
          <w:iCs w:val="false"/>
          <w:color w:val="1A1A1A"/>
          <w:sz w:val="20"/>
          <w:szCs w:val="20"/>
        </w:rPr>
        <w:t xml:space="preserve">The following activities are explicitly excluded from this engagement: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Implementation of controls or remediation activities — these remain the Client's responsibility. The Firm's role is limited to assessment, identification of gaps, and provision of recommendations.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Penetration testing or technical vulnerability assessments. The Client's most recent VAPT report (January 2024) will be reviewed as an input to the assessment, but no independent technical testing will be conducted.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Legal advice or legal opinions on the interpretation of the UK GDPR or the DPDP Act. The Firm's findings reflect a compliance assessment perspective and do not constitute legal counsel.</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Third-party supplier security assessments beyond reviewing the Client's vendor management programme and supplier-facing contractual obligations.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HIPAA compliance assessment — the Client does not process data of US-based patients and HIPAA is not applicable to this engagement.</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ISO 27001 certification audit — this engagement is a gap assessment and readiness review only. Certification requires a separate Stage 1 and Stage 2 audit conducted by an accredited certification body.</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Assessment against UAE data protection regulations (DIFC Data Protection Law / ADGM) — UAE client data protection compliance is excluded from this engagement scope.</w:t>
      </w:r>
    </w:p>
    <w:p>
      <w:pPr>
        <w:spacing w:after="60" w:before="60"/>
      </w:pPr>
      <w:r>
        <w:rPr>
          <w:rFonts w:ascii="Arial" w:cs="Arial" w:eastAsia="Arial" w:hAnsi="Arial"/>
          <w:b w:val="false"/>
          <w:bCs w:val="false"/>
          <w:i w:val="false"/>
          <w:iCs w:val="false"/>
          <w:color w:val="1A1A1A"/>
          <w:sz w:val="20"/>
          <w:szCs w:val="20"/>
        </w:rPr>
        <w:t xml:space="preserve"/>
      </w:r>
    </w:p>
    <w:p>
      <w:pPr>
        <w:pStyle w:val="Heading1"/>
        <w:spacing w:after="120" w:before="280"/>
      </w:pPr>
      <w:r>
        <w:rPr>
          <w:rFonts w:ascii="Arial" w:cs="Arial" w:eastAsia="Arial" w:hAnsi="Arial"/>
          <w:b/>
          <w:bCs/>
          <w:i w:val="false"/>
          <w:iCs w:val="false"/>
          <w:color w:val="1B2A4A"/>
          <w:sz w:val="26"/>
          <w:szCs w:val="26"/>
        </w:rPr>
        <w:t xml:space="preserve">4.  Deliverables</w:t>
      </w:r>
    </w:p>
    <w:p>
      <w:pPr>
        <w:spacing w:after="40" w:before="60"/>
        <w:jc w:val="left"/>
      </w:pPr>
      <w:r>
        <w:rPr>
          <w:rFonts w:ascii="Arial" w:cs="Arial" w:eastAsia="Arial" w:hAnsi="Arial"/>
          <w:b w:val="false"/>
          <w:bCs w:val="false"/>
          <w:i w:val="false"/>
          <w:iCs w:val="false"/>
          <w:color w:val="1A1A1A"/>
          <w:sz w:val="20"/>
          <w:szCs w:val="20"/>
        </w:rPr>
        <w:t xml:space="preserve">The following documents will be produced by the Firm and delivered to the Client over the course of this engagement: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385"/>
        <w:gridCol w:w="1949"/>
        <w:gridCol w:w="1658"/>
      </w:tblGrid>
      <w:tr>
        <w:tc>
          <w:tcPr>
            <w:tcW w:type="dxa" w:w="1754"/>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Ref</w:t>
            </w:r>
          </w:p>
        </w:tc>
        <w:tc>
          <w:tcPr>
            <w:tcW w:type="dxa" w:w="4385"/>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Document</w:t>
            </w:r>
          </w:p>
        </w:tc>
        <w:tc>
          <w:tcPr>
            <w:tcW w:type="dxa" w:w="1949"/>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Format</w:t>
            </w:r>
          </w:p>
        </w:tc>
        <w:tc>
          <w:tcPr>
            <w:tcW w:type="dxa" w:w="165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Target Date</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RCA-P2-001</w:t>
            </w:r>
          </w:p>
        </w:tc>
        <w:tc>
          <w:tcPr>
            <w:tcW w:type="dxa" w:w="4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Engagement Letter &amp; Scope of Work</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Word</w:t>
            </w:r>
          </w:p>
        </w:tc>
        <w:tc>
          <w:tcPr>
            <w:tcW w:type="dxa" w:w="16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10 March 2024</w:t>
            </w:r>
          </w:p>
        </w:tc>
      </w:tr>
      <w:tr>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RCA-P2-002</w:t>
            </w:r>
          </w:p>
        </w:tc>
        <w:tc>
          <w:tcPr>
            <w:tcW w:type="dxa" w:w="438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ISO 27001:2022 Gap Assessment Report</w:t>
            </w:r>
          </w:p>
        </w:tc>
        <w:tc>
          <w:tcPr>
            <w:tcW w:type="dxa" w:w="194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Word</w:t>
            </w:r>
          </w:p>
        </w:tc>
        <w:tc>
          <w:tcPr>
            <w:tcW w:type="dxa" w:w="165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28 April 2024</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RCA-P2-003</w:t>
            </w:r>
          </w:p>
        </w:tc>
        <w:tc>
          <w:tcPr>
            <w:tcW w:type="dxa" w:w="4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GDPR + DPDP Act Compliance Assessment Report</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Word</w:t>
            </w:r>
          </w:p>
        </w:tc>
        <w:tc>
          <w:tcPr>
            <w:tcW w:type="dxa" w:w="16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May 2024</w:t>
            </w:r>
          </w:p>
        </w:tc>
      </w:tr>
      <w:tr>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RCA-P2-004</w:t>
            </w:r>
          </w:p>
        </w:tc>
        <w:tc>
          <w:tcPr>
            <w:tcW w:type="dxa" w:w="438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Records of Processing Activities (RoPA)</w:t>
            </w:r>
          </w:p>
        </w:tc>
        <w:tc>
          <w:tcPr>
            <w:tcW w:type="dxa" w:w="194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Excel</w:t>
            </w:r>
          </w:p>
        </w:tc>
        <w:tc>
          <w:tcPr>
            <w:tcW w:type="dxa" w:w="165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May 2024</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RCA-P2-005</w:t>
            </w:r>
          </w:p>
        </w:tc>
        <w:tc>
          <w:tcPr>
            <w:tcW w:type="dxa" w:w="4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Statement of Applicability (SoA)</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Excel</w:t>
            </w:r>
          </w:p>
        </w:tc>
        <w:tc>
          <w:tcPr>
            <w:tcW w:type="dxa" w:w="16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31 May 2024</w:t>
            </w:r>
          </w:p>
        </w:tc>
      </w:tr>
      <w:tr>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RCA-P2-006</w:t>
            </w:r>
          </w:p>
        </w:tc>
        <w:tc>
          <w:tcPr>
            <w:tcW w:type="dxa" w:w="438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Information Security Risk Register</w:t>
            </w:r>
          </w:p>
        </w:tc>
        <w:tc>
          <w:tcPr>
            <w:tcW w:type="dxa" w:w="194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Excel</w:t>
            </w:r>
          </w:p>
        </w:tc>
        <w:tc>
          <w:tcPr>
            <w:tcW w:type="dxa" w:w="165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31 May 2024</w:t>
            </w:r>
          </w:p>
        </w:tc>
      </w:tr>
      <w:tr>
        <w:tc>
          <w:tcPr>
            <w:tcW w:type="dxa" w:w="17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RCA-P2-007</w:t>
            </w:r>
          </w:p>
        </w:tc>
        <w:tc>
          <w:tcPr>
            <w:tcW w:type="dxa" w:w="43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Remediation Roadmap</w:t>
            </w:r>
          </w:p>
        </w:tc>
        <w:tc>
          <w:tcPr>
            <w:tcW w:type="dxa" w:w="19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Excel</w:t>
            </w:r>
          </w:p>
        </w:tc>
        <w:tc>
          <w:tcPr>
            <w:tcW w:type="dxa" w:w="16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June 2024</w:t>
            </w:r>
          </w:p>
        </w:tc>
      </w:tr>
      <w:tr>
        <w:tc>
          <w:tcPr>
            <w:tcW w:type="dxa" w:w="1754"/>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RCA-P2-008</w:t>
            </w:r>
          </w:p>
        </w:tc>
        <w:tc>
          <w:tcPr>
            <w:tcW w:type="dxa" w:w="4385"/>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Executive Summary</w:t>
            </w:r>
          </w:p>
        </w:tc>
        <w:tc>
          <w:tcPr>
            <w:tcW w:type="dxa" w:w="1949"/>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Word</w:t>
            </w:r>
          </w:p>
        </w:tc>
        <w:tc>
          <w:tcPr>
            <w:tcW w:type="dxa" w:w="165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30 June 2024</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1"/>
        <w:spacing w:after="120" w:before="280"/>
      </w:pPr>
      <w:r>
        <w:rPr>
          <w:rFonts w:ascii="Arial" w:cs="Arial" w:eastAsia="Arial" w:hAnsi="Arial"/>
          <w:b/>
          <w:bCs/>
          <w:i w:val="false"/>
          <w:iCs w:val="false"/>
          <w:color w:val="1B2A4A"/>
          <w:sz w:val="26"/>
          <w:szCs w:val="26"/>
        </w:rPr>
        <w:t xml:space="preserve">5.  Engagement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3411"/>
        <w:gridCol w:w="3607"/>
      </w:tblGrid>
      <w:tr>
        <w:tc>
          <w:tcPr>
            <w:tcW w:type="dxa" w:w="2728"/>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Phase</w:t>
            </w:r>
          </w:p>
        </w:tc>
        <w:tc>
          <w:tcPr>
            <w:tcW w:type="dxa" w:w="3411"/>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Period</w:t>
            </w:r>
          </w:p>
        </w:tc>
        <w:tc>
          <w:tcPr>
            <w:tcW w:type="dxa" w:w="3607"/>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Key Activities</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Phase 1 — Kick-off &amp; Planning</w:t>
            </w:r>
          </w:p>
        </w:tc>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10 March – 21 March 2024</w:t>
            </w:r>
          </w:p>
        </w:tc>
        <w:tc>
          <w:tcPr>
            <w:tcW w:type="dxa" w:w="360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Engagement kick-off meeting; collection of existing policies, procedures, and documentation; AWS and Azure AD configuration data request; VAPT report review.</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Phase 2 — ISO 27001 Assessment</w:t>
            </w:r>
          </w:p>
        </w:tc>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25 March – 12 April 2024</w:t>
            </w:r>
          </w:p>
        </w:tc>
        <w:tc>
          <w:tcPr>
            <w:tcW w:type="dxa" w:w="3607"/>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Evidence-based assessment of all 93 Annex A controls; management and technical interviews; AWS configuration review (CloudTrail, S3, IAM); GitHub repository audit; draft findings.</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Phase 3 — Privacy Assessment</w:t>
            </w:r>
          </w:p>
        </w:tc>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15 April – 30 April 2024</w:t>
            </w:r>
          </w:p>
        </w:tc>
        <w:tc>
          <w:tcPr>
            <w:tcW w:type="dxa" w:w="360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Review of data flows, consent mechanisms, privacy notices, UK client contracts, and breach response procedures; GDPR and DPDP gap identification; RoPA development.</w:t>
            </w:r>
          </w:p>
        </w:tc>
      </w:tr>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Phase 4 — Reporting</w:t>
            </w:r>
          </w:p>
        </w:tc>
        <w:tc>
          <w:tcPr>
            <w:tcW w:type="dxa" w:w="3411"/>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01 May – 31 May 2024</w:t>
            </w:r>
          </w:p>
        </w:tc>
        <w:tc>
          <w:tcPr>
            <w:tcW w:type="dxa" w:w="3607"/>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Preparation of ISO 27001 Gap Assessment Report; GDPR + DPDP Assessment Report; Statement of Applicability; Risk Register; interim delivery to Client for review.</w:t>
            </w:r>
          </w:p>
        </w:tc>
      </w:tr>
      <w:tr>
        <w:tc>
          <w:tcPr>
            <w:tcW w:type="dxa" w:w="272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Phase 5 — Finalisation</w:t>
            </w:r>
          </w:p>
        </w:tc>
        <w:tc>
          <w:tcPr>
            <w:tcW w:type="dxa" w:w="341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01 June – 30 June 2024</w:t>
            </w:r>
          </w:p>
        </w:tc>
        <w:tc>
          <w:tcPr>
            <w:tcW w:type="dxa" w:w="360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Client review of draft reports; incorporation of management responses; Remediation Roadmap finalisation; Executive Summary preparation; formal delivery of all documents.</w:t>
            </w:r>
          </w:p>
        </w:tc>
      </w:tr>
    </w:tbl>
    <w:p>
      <w:pPr>
        <w:spacing w:after="60" w:before="60"/>
      </w:pPr>
      <w:r>
        <w:rPr>
          <w:rFonts w:ascii="Arial" w:cs="Arial" w:eastAsia="Arial" w:hAnsi="Arial"/>
          <w:b w:val="false"/>
          <w:bCs w:val="false"/>
          <w:i w:val="false"/>
          <w:iCs w:val="false"/>
          <w:color w:val="1A1A1A"/>
          <w:sz w:val="20"/>
          <w:szCs w:val="20"/>
        </w:rPr>
        <w:t xml:space="preserve"/>
      </w:r>
    </w:p>
    <w:p>
      <w:r>
        <w:br w:type="page"/>
      </w:r>
    </w:p>
    <w:p>
      <w:pPr>
        <w:pStyle w:val="Heading1"/>
        <w:spacing w:after="120" w:before="280"/>
      </w:pPr>
      <w:r>
        <w:rPr>
          <w:rFonts w:ascii="Arial" w:cs="Arial" w:eastAsia="Arial" w:hAnsi="Arial"/>
          <w:b/>
          <w:bCs/>
          <w:i w:val="false"/>
          <w:iCs w:val="false"/>
          <w:color w:val="1B2A4A"/>
          <w:sz w:val="26"/>
          <w:szCs w:val="26"/>
        </w:rPr>
        <w:t xml:space="preserve">6.  Roles and Responsibilities</w:t>
      </w:r>
    </w:p>
    <w:p>
      <w:pPr>
        <w:pStyle w:val="Heading2"/>
        <w:spacing w:after="80" w:before="200"/>
      </w:pPr>
      <w:r>
        <w:rPr>
          <w:rFonts w:ascii="Arial" w:cs="Arial" w:eastAsia="Arial" w:hAnsi="Arial"/>
          <w:b/>
          <w:bCs/>
          <w:i w:val="false"/>
          <w:iCs w:val="false"/>
          <w:color w:val="1B2A4A"/>
          <w:sz w:val="22"/>
          <w:szCs w:val="22"/>
        </w:rPr>
        <w:t xml:space="preserve">6.1  Resolute Compliance Advisory LLP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Conduct all assessment activities within the agreed scope and timeline.</w:t>
            </w:r>
          </w:p>
        </w:tc>
      </w:tr>
      <w:tr>
        <w:tc>
          <w:tcPr>
            <w:tcW w:type="dxa" w:w="974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Maintain the confidentiality of all Client information and documentation received during the engagement.</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Produce deliverables to a professional standard, with findings supported by documented evidence.</w:t>
            </w:r>
          </w:p>
        </w:tc>
      </w:tr>
      <w:tr>
        <w:tc>
          <w:tcPr>
            <w:tcW w:type="dxa" w:w="974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Communicate material findings to the Client without delay — in particular, any critical or live risk identified during the assessment.</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Seek clarification from the Client promptly where evidence is insufficient or ambiguous.</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2"/>
        <w:spacing w:after="80" w:before="200"/>
      </w:pPr>
      <w:r>
        <w:rPr>
          <w:rFonts w:ascii="Arial" w:cs="Arial" w:eastAsia="Arial" w:hAnsi="Arial"/>
          <w:b/>
          <w:bCs/>
          <w:i w:val="false"/>
          <w:iCs w:val="false"/>
          <w:color w:val="1B2A4A"/>
          <w:sz w:val="22"/>
          <w:szCs w:val="22"/>
        </w:rPr>
        <w:t xml:space="preserve">6.2  Medlink India Pvt. Ltd.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Provide timely access to personnel for management and technical interviews, including the CTO, IT operations lead, legal/compliance function, and HR.</w:t>
            </w:r>
          </w:p>
        </w:tc>
      </w:tr>
      <w:tr>
        <w:tc>
          <w:tcPr>
            <w:tcW w:type="dxa" w:w="974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Provide access to relevant documentation including existing policies, procedures, contracts, and system configurations.</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Facilitate read-only access to AWS CloudTrail, S3 bucket configurations, IAM roles and policies, and Azure AD settings.</w:t>
            </w:r>
          </w:p>
        </w:tc>
      </w:tr>
      <w:tr>
        <w:tc>
          <w:tcPr>
            <w:tcW w:type="dxa" w:w="974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Facilitate access to the GitHub organisation for repository audit log review.</w:t>
            </w:r>
          </w:p>
        </w:tc>
      </w:tr>
      <w:tr>
        <w:tc>
          <w:tcPr>
            <w:tcW w:type="dxa" w:w="9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Review draft deliverables within ten (10) business days and provide consolidated management responses.</w:t>
            </w:r>
          </w:p>
        </w:tc>
      </w:tr>
      <w:tr>
        <w:tc>
          <w:tcPr>
            <w:tcW w:type="dxa" w:w="9746"/>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Ensure that identified critical findings — in particular, any live risk — receive immediate escalation internally.</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1"/>
        <w:spacing w:after="120" w:before="280"/>
      </w:pPr>
      <w:r>
        <w:rPr>
          <w:rFonts w:ascii="Arial" w:cs="Arial" w:eastAsia="Arial" w:hAnsi="Arial"/>
          <w:b/>
          <w:bCs/>
          <w:i w:val="false"/>
          <w:iCs w:val="false"/>
          <w:color w:val="1B2A4A"/>
          <w:sz w:val="26"/>
          <w:szCs w:val="26"/>
        </w:rPr>
        <w:t xml:space="preserve">7.  Assessment Methodology</w:t>
      </w:r>
    </w:p>
    <w:p>
      <w:pPr>
        <w:spacing w:after="40" w:before="60"/>
        <w:jc w:val="left"/>
      </w:pPr>
      <w:r>
        <w:rPr>
          <w:rFonts w:ascii="Arial" w:cs="Arial" w:eastAsia="Arial" w:hAnsi="Arial"/>
          <w:b w:val="false"/>
          <w:bCs w:val="false"/>
          <w:i w:val="false"/>
          <w:iCs w:val="false"/>
          <w:color w:val="1A1A1A"/>
          <w:sz w:val="20"/>
          <w:szCs w:val="20"/>
        </w:rPr>
        <w:t xml:space="preserve">The assessment will be conducted using the following evidence-gathering methods, applied consistently across all three frameworks (ISO 27001:2022, UK GDPR, and DPDP Act 2023):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Document Review</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Review and evaluation of existing policies, procedures, standards, and records provided by the Client. This includes the draft Information Security Policy, data classification scheme, incident log, UK client contracts, privacy notices, and the January 2024 VAPT report.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Management and Technical Interviews</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Structured interviews with key personnel including the Chief Technology Officer, Head of Engineering, IT Operations Lead, and Customer Success Lead. Interviews will assess awareness, implementation maturity, and accountability against each control domain.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Technical Configuration Review</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Read-only review of AWS CloudTrail logs, S3 bucket configurations, IAM roles and policies, and Azure Active Directory settings. Review of GitHub organisation audit logs for secrets management practices. No active testing or penetration testing will be conducted.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Privacy Flow Analysis</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Review of the patient-facing mobile application consent flows, privacy notice content, and data processing activities to assess alignment with GDPR Articles 13–14 and DPDP Act Section 6 consent requirements.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Control Assessment Ratings</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Each ISO 27001:2022 Annex A control is rated as: Conformant (fully implemented and evidenced), Partial (partially implemented or lacking documented evidence), or Non-Conformant (not implemented or materially deficient). Privacy findings are assessed against the specific legal obligation under UK GDPR or DPDP Act and rated as Critical, High, or Medium.</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CCCCCC" w:sz="4"/>
              <w:left w:val="single" w:color="CCCCCC" w:sz="4"/>
              <w:bottom w:val="single" w:color="CCCCCC" w:sz="4"/>
              <w:right w:val="single" w:color="CCCCCC" w:sz="4"/>
            </w:tcBorders>
            <w:shd w:fill="EEF1F7"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B2A4A"/>
                <w:sz w:val="19"/>
                <w:szCs w:val="19"/>
              </w:rPr>
              <w:t xml:space="preserve">Risk Assessment</w:t>
            </w:r>
          </w:p>
        </w:tc>
        <w:tc>
          <w:tcPr>
            <w:tcW w:type="dxa" w:w="70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A1A1A"/>
                <w:sz w:val="19"/>
                <w:szCs w:val="19"/>
              </w:rPr>
              <w:t xml:space="preserve">Identified risks are assessed using a Likelihood × Impact methodology on a 1–5 scale, producing a risk score of 1–25. Rating bands: Critical (20–25), High (12–19), Medium (6–11), Low (1–5).</w:t>
            </w:r>
          </w:p>
        </w:tc>
      </w:tr>
    </w:tbl>
    <w:p>
      <w:pPr>
        <w:spacing w:after="60" w:before="60"/>
      </w:pPr>
      <w:r>
        <w:rPr>
          <w:rFonts w:ascii="Arial" w:cs="Arial" w:eastAsia="Arial" w:hAnsi="Arial"/>
          <w:b w:val="false"/>
          <w:bCs w:val="false"/>
          <w:i w:val="false"/>
          <w:iCs w:val="false"/>
          <w:color w:val="1A1A1A"/>
          <w:sz w:val="20"/>
          <w:szCs w:val="20"/>
        </w:rPr>
        <w:t xml:space="preserve"/>
      </w:r>
    </w:p>
    <w:p>
      <w:pPr>
        <w:pStyle w:val="Heading1"/>
        <w:spacing w:after="120" w:before="280"/>
      </w:pPr>
      <w:r>
        <w:rPr>
          <w:rFonts w:ascii="Arial" w:cs="Arial" w:eastAsia="Arial" w:hAnsi="Arial"/>
          <w:b/>
          <w:bCs/>
          <w:i w:val="false"/>
          <w:iCs w:val="false"/>
          <w:color w:val="1B2A4A"/>
          <w:sz w:val="26"/>
          <w:szCs w:val="26"/>
        </w:rPr>
        <w:t xml:space="preserve">8.  Confidentiality and Data Handling</w:t>
      </w:r>
    </w:p>
    <w:p>
      <w:pPr>
        <w:spacing w:after="60" w:before="60"/>
        <w:jc w:val="left"/>
      </w:pPr>
      <w:r>
        <w:rPr>
          <w:rFonts w:ascii="Arial" w:cs="Arial" w:eastAsia="Arial" w:hAnsi="Arial"/>
          <w:b w:val="false"/>
          <w:bCs w:val="false"/>
          <w:i w:val="false"/>
          <w:iCs w:val="false"/>
          <w:color w:val="1A1A1A"/>
          <w:sz w:val="20"/>
          <w:szCs w:val="20"/>
        </w:rPr>
        <w:t xml:space="preserve">All information provided by the Client in connection with this engagement — including documentation, system access credentials, configuration data, and personnel information — will be treated as strictly confidential by the Firm.</w:t>
      </w:r>
    </w:p>
    <w:p>
      <w:pPr>
        <w:spacing w:after="60" w:before="60"/>
        <w:jc w:val="left"/>
      </w:pPr>
      <w:r>
        <w:rPr>
          <w:rFonts w:ascii="Arial" w:cs="Arial" w:eastAsia="Arial" w:hAnsi="Arial"/>
          <w:b w:val="false"/>
          <w:bCs w:val="false"/>
          <w:i w:val="false"/>
          <w:iCs w:val="false"/>
          <w:color w:val="1A1A1A"/>
          <w:sz w:val="20"/>
          <w:szCs w:val="20"/>
        </w:rPr>
        <w:t xml:space="preserve">The Firm will not retain copies of Client data beyond the period necessary to complete and deliver the engagement deliverables, and will not disclose any Client information to third parties without prior written consent, except where required by law.</w:t>
      </w:r>
    </w:p>
    <w:p>
      <w:pPr>
        <w:spacing w:after="80" w:before="60"/>
        <w:jc w:val="left"/>
      </w:pPr>
      <w:r>
        <w:rPr>
          <w:rFonts w:ascii="Arial" w:cs="Arial" w:eastAsia="Arial" w:hAnsi="Arial"/>
          <w:b w:val="false"/>
          <w:bCs w:val="false"/>
          <w:i w:val="false"/>
          <w:iCs w:val="false"/>
          <w:color w:val="1A1A1A"/>
          <w:sz w:val="20"/>
          <w:szCs w:val="20"/>
        </w:rPr>
        <w:t xml:space="preserve">Given the nature of the Client's business — processing sensitive personal health information — the Firm acknowledges its obligation to handle any patient data encountered during the assessment with the highest degree of care. Assessment activities will be designed to minimise exposure to personal data. Where personal data must be reviewed (e.g., for privacy notice or consent flow assessment), it will be processed only to the extent necessary and will not be retained by the Firm.</w:t>
      </w:r>
    </w:p>
    <w:p>
      <w:pPr>
        <w:spacing w:after="60" w:before="60"/>
      </w:pPr>
      <w:r>
        <w:rPr>
          <w:rFonts w:ascii="Arial" w:cs="Arial" w:eastAsia="Arial" w:hAnsi="Arial"/>
          <w:b w:val="false"/>
          <w:bCs w:val="false"/>
          <w:i w:val="false"/>
          <w:iCs w:val="false"/>
          <w:color w:val="1A1A1A"/>
          <w:sz w:val="20"/>
          <w:szCs w:val="20"/>
        </w:rPr>
        <w:t xml:space="preserve"/>
      </w:r>
    </w:p>
    <w:p>
      <w:r>
        <w:br w:type="page"/>
      </w:r>
    </w:p>
    <w:p>
      <w:pPr>
        <w:pStyle w:val="Heading1"/>
        <w:spacing w:after="120" w:before="280"/>
      </w:pPr>
      <w:r>
        <w:rPr>
          <w:rFonts w:ascii="Arial" w:cs="Arial" w:eastAsia="Arial" w:hAnsi="Arial"/>
          <w:b/>
          <w:bCs/>
          <w:i w:val="false"/>
          <w:iCs w:val="false"/>
          <w:color w:val="1B2A4A"/>
          <w:sz w:val="26"/>
          <w:szCs w:val="26"/>
        </w:rPr>
        <w:t xml:space="preserve">9.  Acknowledgement and Authorisation</w:t>
      </w:r>
    </w:p>
    <w:p>
      <w:pPr>
        <w:spacing w:after="80" w:before="60"/>
        <w:jc w:val="left"/>
      </w:pPr>
      <w:r>
        <w:rPr>
          <w:rFonts w:ascii="Arial" w:cs="Arial" w:eastAsia="Arial" w:hAnsi="Arial"/>
          <w:b w:val="false"/>
          <w:bCs w:val="false"/>
          <w:i w:val="false"/>
          <w:iCs w:val="false"/>
          <w:color w:val="1A1A1A"/>
          <w:sz w:val="20"/>
          <w:szCs w:val="20"/>
        </w:rPr>
        <w:t xml:space="preserve">By signing below, the authorised representatives of both parties confirm their agreement to the terms, scope, and methodology set out in this Engagement Letter and Scope of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For Resolute Compliance Advisory LLP</w:t>
            </w:r>
          </w:p>
        </w:tc>
        <w:tc>
          <w:tcPr>
            <w:tcW w:type="dxa" w:w="4873"/>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For Medlink India Pvt. Ltd.</w:t>
            </w:r>
          </w:p>
        </w:tc>
      </w:tr>
      <w:tr>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0" w:before="200"/>
            </w:pPr>
            <w:r>
              <w:rPr>
                <w:rFonts w:ascii="Arial" w:cs="Arial" w:eastAsia="Arial" w:hAnsi="Arial"/>
                <w:b w:val="false"/>
                <w:bCs w:val="false"/>
                <w:i w:val="false"/>
                <w:iCs w:val="false"/>
                <w:color w:val="1A1A1A"/>
                <w:sz w:val="20"/>
                <w:szCs w:val="20"/>
              </w:rPr>
              <w:t xml:space="preserve"/>
            </w:r>
          </w:p>
          <w:p>
            <w:pPr>
              <w:spacing w:after="60" w:before="100"/>
              <w:jc w:val="left"/>
            </w:pPr>
            <w:r>
              <w:rPr>
                <w:rFonts w:ascii="Arial" w:cs="Arial" w:eastAsia="Arial" w:hAnsi="Arial"/>
                <w:b w:val="false"/>
                <w:bCs w:val="false"/>
                <w:i w:val="false"/>
                <w:iCs w:val="false"/>
                <w:color w:val="666666"/>
                <w:sz w:val="20"/>
                <w:szCs w:val="20"/>
              </w:rPr>
              <w:t xml:space="preserve">____________________________</w:t>
            </w:r>
          </w:p>
          <w:p>
            <w:pPr>
              <w:spacing w:after="10" w:before="40"/>
              <w:jc w:val="left"/>
            </w:pPr>
            <w:r>
              <w:rPr>
                <w:rFonts w:ascii="Arial" w:cs="Arial" w:eastAsia="Arial" w:hAnsi="Arial"/>
                <w:b/>
                <w:bCs/>
                <w:i w:val="false"/>
                <w:iCs w:val="false"/>
                <w:color w:val="1B2A4A"/>
                <w:sz w:val="20"/>
                <w:szCs w:val="20"/>
              </w:rPr>
              <w:t xml:space="preserve">kay Shahbaaz</w:t>
            </w:r>
          </w:p>
          <w:p>
            <w:pPr>
              <w:spacing w:after="10" w:before="0"/>
              <w:jc w:val="left"/>
            </w:pPr>
            <w:r>
              <w:rPr>
                <w:rFonts w:ascii="Arial" w:cs="Arial" w:eastAsia="Arial" w:hAnsi="Arial"/>
                <w:b w:val="false"/>
                <w:bCs w:val="false"/>
                <w:i w:val="false"/>
                <w:iCs w:val="false"/>
                <w:color w:val="666666"/>
                <w:sz w:val="19"/>
                <w:szCs w:val="19"/>
              </w:rPr>
              <w:t xml:space="preserve">GRC Analyst</w:t>
            </w:r>
          </w:p>
          <w:p>
            <w:pPr>
              <w:spacing w:after="10" w:before="0"/>
              <w:jc w:val="left"/>
            </w:pPr>
            <w:r>
              <w:rPr>
                <w:rFonts w:ascii="Arial" w:cs="Arial" w:eastAsia="Arial" w:hAnsi="Arial"/>
                <w:b w:val="false"/>
                <w:bCs w:val="false"/>
                <w:i w:val="false"/>
                <w:iCs w:val="false"/>
                <w:color w:val="666666"/>
                <w:sz w:val="19"/>
                <w:szCs w:val="19"/>
              </w:rPr>
              <w:t xml:space="preserve">Resolute Compliance Advisory LLP</w:t>
            </w:r>
          </w:p>
          <w:p>
            <w:pPr>
              <w:spacing w:after="80" w:before="0"/>
              <w:jc w:val="left"/>
            </w:pPr>
            <w:r>
              <w:rPr>
                <w:rFonts w:ascii="Arial" w:cs="Arial" w:eastAsia="Arial" w:hAnsi="Arial"/>
                <w:b w:val="false"/>
                <w:bCs w:val="false"/>
                <w:i w:val="false"/>
                <w:iCs w:val="false"/>
                <w:color w:val="666666"/>
                <w:sz w:val="19"/>
                <w:szCs w:val="19"/>
              </w:rPr>
              <w:t xml:space="preserve">Date: 10 March 2024</w:t>
            </w:r>
          </w:p>
        </w:tc>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200" w:before="200"/>
            </w:pPr>
            <w:r>
              <w:rPr>
                <w:rFonts w:ascii="Arial" w:cs="Arial" w:eastAsia="Arial" w:hAnsi="Arial"/>
                <w:b w:val="false"/>
                <w:bCs w:val="false"/>
                <w:i w:val="false"/>
                <w:iCs w:val="false"/>
                <w:color w:val="1A1A1A"/>
                <w:sz w:val="20"/>
                <w:szCs w:val="20"/>
              </w:rPr>
              <w:t xml:space="preserve"/>
            </w:r>
          </w:p>
          <w:p>
            <w:pPr>
              <w:spacing w:after="60" w:before="100"/>
              <w:jc w:val="left"/>
            </w:pPr>
            <w:r>
              <w:rPr>
                <w:rFonts w:ascii="Arial" w:cs="Arial" w:eastAsia="Arial" w:hAnsi="Arial"/>
                <w:b w:val="false"/>
                <w:bCs w:val="false"/>
                <w:i w:val="false"/>
                <w:iCs w:val="false"/>
                <w:color w:val="666666"/>
                <w:sz w:val="20"/>
                <w:szCs w:val="20"/>
              </w:rPr>
              <w:t xml:space="preserve">____________________________</w:t>
            </w:r>
          </w:p>
          <w:p>
            <w:pPr>
              <w:spacing w:after="10" w:before="40"/>
              <w:jc w:val="left"/>
            </w:pPr>
            <w:r>
              <w:rPr>
                <w:rFonts w:ascii="Arial" w:cs="Arial" w:eastAsia="Arial" w:hAnsi="Arial"/>
                <w:b/>
                <w:bCs/>
                <w:i w:val="false"/>
                <w:iCs w:val="false"/>
                <w:color w:val="1B2A4A"/>
                <w:sz w:val="20"/>
                <w:szCs w:val="20"/>
              </w:rPr>
              <w:t xml:space="preserve">Authorised Signatory</w:t>
            </w:r>
          </w:p>
          <w:p>
            <w:pPr>
              <w:spacing w:after="10" w:before="0"/>
              <w:jc w:val="left"/>
            </w:pPr>
            <w:r>
              <w:rPr>
                <w:rFonts w:ascii="Arial" w:cs="Arial" w:eastAsia="Arial" w:hAnsi="Arial"/>
                <w:b w:val="false"/>
                <w:bCs w:val="false"/>
                <w:i w:val="false"/>
                <w:iCs w:val="false"/>
                <w:color w:val="666666"/>
                <w:sz w:val="19"/>
                <w:szCs w:val="19"/>
              </w:rPr>
              <w:t xml:space="preserve">Name / Title</w:t>
            </w:r>
          </w:p>
          <w:p>
            <w:pPr>
              <w:spacing w:after="10" w:before="0"/>
              <w:jc w:val="left"/>
            </w:pPr>
            <w:r>
              <w:rPr>
                <w:rFonts w:ascii="Arial" w:cs="Arial" w:eastAsia="Arial" w:hAnsi="Arial"/>
                <w:b w:val="false"/>
                <w:bCs w:val="false"/>
                <w:i w:val="false"/>
                <w:iCs w:val="false"/>
                <w:color w:val="666666"/>
                <w:sz w:val="19"/>
                <w:szCs w:val="19"/>
              </w:rPr>
              <w:t xml:space="preserve">Medlink India Pvt. Ltd.</w:t>
            </w:r>
          </w:p>
          <w:p>
            <w:pPr>
              <w:spacing w:after="80" w:before="0"/>
              <w:jc w:val="left"/>
            </w:pPr>
            <w:r>
              <w:rPr>
                <w:rFonts w:ascii="Arial" w:cs="Arial" w:eastAsia="Arial" w:hAnsi="Arial"/>
                <w:b w:val="false"/>
                <w:bCs w:val="false"/>
                <w:i w:val="false"/>
                <w:iCs w:val="false"/>
                <w:color w:val="666666"/>
                <w:sz w:val="19"/>
                <w:szCs w:val="19"/>
              </w:rPr>
              <w:t xml:space="preserve">Date: ___________________</w:t>
            </w:r>
          </w:p>
        </w:tc>
      </w:tr>
    </w:tbl>
    <w:sectPr>
      <w:headerReference w:type="default" r:id="rId7"/>
      <w:footerReference w:type="default" r:id="rId8"/>
      <w:pgSz w:w="11906" w:h="16838" w:orient="portrait"/>
      <w:pgMar w:top="12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6" w:space="1"/>
      </w:pBdr>
      <w:tabs>
        <w:tab w:val="right" w:pos="9026"/>
      </w:tabs>
      <w:spacing w:after="0" w:before="80"/>
    </w:pPr>
    <w:r>
      <w:rPr>
        <w:rFonts w:ascii="Arial" w:cs="Arial" w:eastAsia="Arial" w:hAnsi="Arial"/>
        <w:b w:val="false"/>
        <w:bCs w:val="false"/>
        <w:i w:val="false"/>
        <w:iCs w:val="false"/>
        <w:color w:val="666666"/>
        <w:sz w:val="16"/>
        <w:szCs w:val="16"/>
      </w:rPr>
      <w:t xml:space="preserve">Engagement Letter &amp; Scope of Work  ·  Medlink India Pvt. Ltd.</w:t>
    </w:r>
    <w:r>
      <w:rPr>
        <w:rFonts w:ascii="Arial" w:cs="Arial" w:eastAsia="Arial" w:hAnsi="Arial"/>
        <w:b w:val="false"/>
        <w:bCs w:val="false"/>
        <w:i w:val="false"/>
        <w:iCs w:val="false"/>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spacing w:after="80" w:before="0"/>
    </w:pPr>
    <w:r>
      <w:rPr>
        <w:rFonts w:ascii="Arial" w:cs="Arial" w:eastAsia="Arial" w:hAnsi="Arial"/>
        <w:b/>
        <w:bCs/>
        <w:i w:val="false"/>
        <w:iCs w:val="false"/>
        <w:color w:val="1B2A4A"/>
        <w:sz w:val="16"/>
        <w:szCs w:val="16"/>
      </w:rPr>
      <w:t xml:space="preserve">Resolute Compliance Advisory LLP</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66666"/>
        <w:sz w:val="16"/>
        <w:szCs w:val="16"/>
      </w:rPr>
      <w:t xml:space="preserve">RCA-P2-001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2026-06-21T19:00:24.619Z</dcterms:created>
  <dcterms:modified xsi:type="dcterms:W3CDTF">2026-06-21T19:00:24.619Z</dcterms:modified>
</cp:coreProperties>
</file>

<file path=docProps/custom.xml><?xml version="1.0" encoding="utf-8"?>
<Properties xmlns="http://schemas.openxmlformats.org/officeDocument/2006/custom-properties" xmlns:vt="http://schemas.openxmlformats.org/officeDocument/2006/docPropsVTypes"/>
</file>