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1B2A4A" w:val="clear"/>
            <w:tcMar>
              <w:top w:type="dxa" w:w="120"/>
              <w:left w:type="dxa" w:w="180"/>
              <w:bottom w:type="dxa" w:w="120"/>
              <w:right w:type="dxa" w:w="180"/>
            </w:tcMar>
            <w:vAlign w:val="top"/>
          </w:tcPr>
          <w:p>
            <w:pPr>
              <w:spacing w:after="0" w:before="0"/>
              <w:jc w:val="center"/>
            </w:pPr>
            <w:r>
              <w:rPr>
                <w:rFonts w:ascii="Arial" w:cs="Arial" w:eastAsia="Arial" w:hAnsi="Arial"/>
                <w:b/>
                <w:bCs/>
                <w:i w:val="false"/>
                <w:iCs w:val="false"/>
                <w:color w:val="FFFFFF"/>
                <w:sz w:val="28"/>
                <w:szCs w:val="28"/>
              </w:rPr>
              <w:t xml:space="preserve">RESOLUTE COMPLIANCE ADVISORY LLP</w:t>
            </w:r>
          </w:p>
          <w:p>
            <w:pPr>
              <w:spacing w:after="0" w:before="0"/>
              <w:jc w:val="center"/>
            </w:pPr>
            <w:r>
              <w:rPr>
                <w:rFonts w:ascii="Arial" w:cs="Arial" w:eastAsia="Arial" w:hAnsi="Arial"/>
                <w:b w:val="false"/>
                <w:bCs w:val="false"/>
                <w:i/>
                <w:iCs/>
                <w:color w:val="C8A951"/>
                <w:sz w:val="18"/>
                <w:szCs w:val="18"/>
              </w:rPr>
              <w:t xml:space="preserve">Governance  ·  Risk  ·  Compliance</w:t>
            </w:r>
          </w:p>
        </w:tc>
      </w:tr>
    </w:tbl>
    <w:p>
      <w:pPr>
        <w:spacing w:after="400" w:before="0"/>
      </w:pPr>
      <w:r>
        <w:t xml:space="preserve"> </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EEF1F7" w:val="clear"/>
            <w:tcMar>
              <w:top w:type="dxa" w:w="120"/>
              <w:left w:type="dxa" w:w="180"/>
              <w:bottom w:type="dxa" w:w="120"/>
              <w:right w:type="dxa" w:w="180"/>
            </w:tcMar>
            <w:vAlign w:val="top"/>
          </w:tcPr>
          <w:p>
            <w:pPr>
              <w:spacing w:after="0" w:before="0"/>
              <w:jc w:val="center"/>
            </w:pPr>
            <w:r>
              <w:rPr>
                <w:rFonts w:ascii="Arial" w:cs="Arial" w:eastAsia="Arial" w:hAnsi="Arial"/>
                <w:b/>
                <w:bCs/>
                <w:i w:val="false"/>
                <w:iCs w:val="false"/>
                <w:color w:val="1B2A4A"/>
                <w:sz w:val="22"/>
                <w:szCs w:val="22"/>
              </w:rPr>
              <w:t xml:space="preserve">DELTA ASSESSMENT FINDINGS REPORT</w:t>
            </w:r>
          </w:p>
          <w:p>
            <w:pPr>
              <w:spacing w:after="0" w:before="0"/>
              <w:jc w:val="center"/>
            </w:pPr>
            <w:r>
              <w:rPr>
                <w:rFonts w:ascii="Arial" w:cs="Arial" w:eastAsia="Arial" w:hAnsi="Arial"/>
                <w:b w:val="false"/>
                <w:bCs w:val="false"/>
                <w:i/>
                <w:iCs/>
                <w:color w:val="666666"/>
                <w:sz w:val="20"/>
                <w:szCs w:val="20"/>
              </w:rPr>
              <w:t xml:space="preserve">NCA ECC-2:2024 Delta Assessment  —  Al Ameen Insurance Company</w:t>
            </w:r>
          </w:p>
        </w:tc>
      </w:tr>
    </w:tbl>
    <w:p>
      <w:pPr>
        <w:spacing w:after="400" w:before="0"/>
      </w:pPr>
      <w:r>
        <w:t xml:space="preserve"> </w:t>
      </w:r>
    </w:p>
    <w:tbl>
      <w:tblPr>
        <w:tblW w:type="dxa" w:w="9746"/>
        <w:tblBorders>
          <w:top w:val="single" w:color="CCCCCC" w:sz="1"/>
          <w:left w:val="none" w:color="FFFFFF" w:sz="0"/>
          <w:bottom w:val="single" w:color="CCCCCC" w:sz="1"/>
          <w:right w:val="none" w:color="FFFFFF" w:sz="0"/>
          <w:insideH w:val="single" w:color="auto" w:sz="4"/>
          <w:insideV w:val="single" w:color="auto" w:sz="4"/>
        </w:tblBorders>
      </w:tblPr>
      <w:tblGrid>
        <w:gridCol w:w="200"/>
        <w:gridCol w:w="9546"/>
      </w:tblGrid>
      <w:tr>
        <w:tc>
          <w:tcPr>
            <w:tcW w:type="dxa" w:w="200"/>
            <w:tcBorders>
              <w:top w:val="single" w:color="CCCCCC" w:sz="1"/>
              <w:left w:val="single" w:color="CCCCCC" w:sz="1"/>
              <w:bottom w:val="single" w:color="CCCCCC" w:sz="1"/>
              <w:right w:val="single" w:color="CCCCCC" w:sz="1"/>
            </w:tcBorders>
            <w:shd w:fill="C8A951" w:val="clear"/>
            <w:tcMar>
              <w:top w:type="dxa" w:w="0"/>
              <w:left w:type="dxa" w:w="0"/>
              <w:bottom w:type="dxa" w:w="0"/>
              <w:right w:type="dxa" w:w="0"/>
            </w:tcMar>
            <w:vAlign w:val="top"/>
          </w:tcPr>
          <w:p>
            <w:pPr>
              <w:spacing w:after="0" w:before="0"/>
              <w:jc w:val="left"/>
            </w:pPr>
            <w:r>
              <w:t xml:space="preserve"> </w:t>
            </w:r>
          </w:p>
        </w:tc>
        <w:tc>
          <w:tcPr>
            <w:tcW w:type="dxa" w:w="9546"/>
            <w:tcBorders>
              <w:top w:val="single" w:color="CCCCCC" w:sz="1"/>
              <w:left w:val="single" w:color="CCCCCC" w:sz="1"/>
              <w:bottom w:val="single" w:color="CCCCCC" w:sz="1"/>
              <w:right w:val="single" w:color="CCCCCC" w:sz="1"/>
            </w:tcBorders>
            <w:shd w:fill="FFFFFF" w:val="clear"/>
            <w:tcMar>
              <w:top w:type="dxa" w:w="160"/>
              <w:left w:type="dxa" w:w="0"/>
              <w:bottom w:type="dxa" w:w="160"/>
              <w:right w:type="dxa" w:w="120"/>
            </w:tcMar>
            <w:vAlign w:val="top"/>
          </w:tcPr>
          <w:p>
            <w:pPr>
              <w:spacing w:after="0" w:before="0"/>
              <w:ind w:left="160"/>
              <w:jc w:val="left"/>
            </w:pPr>
            <w:r>
              <w:rPr>
                <w:rFonts w:ascii="Arial" w:cs="Arial" w:eastAsia="Arial" w:hAnsi="Arial"/>
                <w:b w:val="false"/>
                <w:bCs w:val="false"/>
                <w:i/>
                <w:iCs/>
                <w:color w:val="666666"/>
                <w:sz w:val="16"/>
                <w:szCs w:val="16"/>
              </w:rPr>
              <w:t xml:space="preserve">Prepared for</w:t>
            </w:r>
          </w:p>
          <w:p>
            <w:pPr>
              <w:spacing w:after="0" w:before="0"/>
              <w:ind w:left="160"/>
              <w:jc w:val="left"/>
            </w:pPr>
            <w:r>
              <w:rPr>
                <w:rFonts w:ascii="Arial" w:cs="Arial" w:eastAsia="Arial" w:hAnsi="Arial"/>
                <w:b/>
                <w:bCs/>
                <w:i w:val="false"/>
                <w:iCs w:val="false"/>
                <w:color w:val="1B2A4A"/>
                <w:sz w:val="26"/>
                <w:szCs w:val="26"/>
              </w:rPr>
              <w:t xml:space="preserve">Al Ameen Insurance Company</w:t>
            </w:r>
          </w:p>
          <w:p>
            <w:pPr>
              <w:spacing w:after="0" w:before="0"/>
              <w:ind w:left="160"/>
              <w:jc w:val="left"/>
            </w:pPr>
            <w:r>
              <w:rPr>
                <w:rFonts w:ascii="Arial" w:cs="Arial" w:eastAsia="Arial" w:hAnsi="Arial"/>
                <w:b w:val="false"/>
                <w:bCs w:val="false"/>
                <w:i w:val="false"/>
                <w:iCs w:val="false"/>
                <w:color w:val="666666"/>
                <w:sz w:val="18"/>
                <w:szCs w:val="18"/>
              </w:rPr>
              <w:t xml:space="preserve">Insurance  ·  Riyadh, Kingdom of Saudi Arabia</w:t>
            </w:r>
          </w:p>
          <w:p>
            <w:pPr>
              <w:spacing w:after="60" w:before="0"/>
            </w:pPr>
            <w:r>
              <w:t xml:space="preserve"> </w:t>
            </w:r>
          </w:p>
          <w:p>
            <w:pPr>
              <w:spacing w:after="0" w:before="0"/>
              <w:ind w:left="160"/>
              <w:jc w:val="left"/>
            </w:pPr>
            <w:r>
              <w:rPr>
                <w:rFonts w:ascii="Arial" w:cs="Arial" w:eastAsia="Arial" w:hAnsi="Arial"/>
                <w:b w:val="false"/>
                <w:bCs w:val="false"/>
                <w:i w:val="false"/>
                <w:iCs w:val="false"/>
                <w:color w:val="1A1A1A"/>
                <w:sz w:val="18"/>
                <w:szCs w:val="18"/>
              </w:rPr>
              <w:t xml:space="preserve">Engagement Period:  03 February 2025 – 30 April 2025</w:t>
            </w:r>
          </w:p>
          <w:p>
            <w:pPr>
              <w:spacing w:after="0" w:before="0"/>
              <w:ind w:left="160"/>
              <w:jc w:val="left"/>
            </w:pPr>
            <w:r>
              <w:rPr>
                <w:rFonts w:ascii="Arial" w:cs="Arial" w:eastAsia="Arial" w:hAnsi="Arial"/>
                <w:b w:val="false"/>
                <w:bCs w:val="false"/>
                <w:i w:val="false"/>
                <w:iCs w:val="false"/>
                <w:color w:val="1A1A1A"/>
                <w:sz w:val="18"/>
                <w:szCs w:val="18"/>
              </w:rPr>
              <w:t xml:space="preserve">Report Date:  31 March 2025</w:t>
            </w:r>
          </w:p>
        </w:tc>
      </w:tr>
    </w:tbl>
    <w:p>
      <w:pPr>
        <w:spacing w:after="3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CCCCCC" w:sz="1"/>
              <w:left w:val="single" w:color="CCCCCC" w:sz="1"/>
              <w:bottom w:val="single" w:color="CCCCCC" w:sz="1"/>
              <w:right w:val="single" w:color="CCCCCC" w:sz="1"/>
            </w:tcBorders>
            <w:tcMar>
              <w:top w:type="dxa" w:w="120"/>
              <w:left w:type="dxa" w:w="140"/>
              <w:bottom w:type="dxa" w:w="120"/>
              <w:right w:type="dxa" w:w="120"/>
            </w:tcMar>
            <w:vAlign w:val="top"/>
          </w:tcPr>
          <w:p>
            <w:pPr>
              <w:spacing w:after="0" w:before="0"/>
              <w:jc w:val="left"/>
            </w:pPr>
            <w:r>
              <w:rPr>
                <w:rFonts w:ascii="Arial" w:cs="Arial" w:eastAsia="Arial" w:hAnsi="Arial"/>
                <w:b w:val="false"/>
                <w:bCs w:val="false"/>
                <w:i/>
                <w:iCs/>
                <w:color w:val="666666"/>
                <w:sz w:val="16"/>
                <w:szCs w:val="16"/>
              </w:rPr>
              <w:t xml:space="preserve">Prepared by</w:t>
            </w:r>
          </w:p>
          <w:p>
            <w:pPr>
              <w:spacing w:after="0" w:before="0"/>
              <w:jc w:val="left"/>
            </w:pPr>
            <w:r>
              <w:rPr>
                <w:rFonts w:ascii="Arial" w:cs="Arial" w:eastAsia="Arial" w:hAnsi="Arial"/>
                <w:b/>
                <w:bCs/>
                <w:i w:val="false"/>
                <w:iCs w:val="false"/>
                <w:color w:val="1B2A4A"/>
                <w:sz w:val="20"/>
                <w:szCs w:val="20"/>
              </w:rPr>
              <w:t xml:space="preserve">kay Shahbaaz</w:t>
            </w:r>
          </w:p>
          <w:p>
            <w:pPr>
              <w:spacing w:after="0" w:before="0"/>
              <w:jc w:val="left"/>
            </w:pPr>
            <w:r>
              <w:rPr>
                <w:rFonts w:ascii="Arial" w:cs="Arial" w:eastAsia="Arial" w:hAnsi="Arial"/>
                <w:b w:val="false"/>
                <w:bCs w:val="false"/>
                <w:i w:val="false"/>
                <w:iCs w:val="false"/>
                <w:color w:val="666666"/>
                <w:sz w:val="18"/>
                <w:szCs w:val="18"/>
              </w:rPr>
              <w:t xml:space="preserve">GRC Auditor</w:t>
            </w:r>
          </w:p>
        </w:tc>
        <w:tc>
          <w:tcPr>
            <w:tcW w:type="dxa" w:w="3248"/>
            <w:tcBorders>
              <w:top w:val="single" w:color="CCCCCC" w:sz="1"/>
              <w:left w:val="single" w:color="CCCCCC" w:sz="1"/>
              <w:bottom w:val="single" w:color="CCCCCC" w:sz="1"/>
              <w:right w:val="single" w:color="CCCCCC" w:sz="1"/>
            </w:tcBorders>
            <w:tcMar>
              <w:top w:type="dxa" w:w="120"/>
              <w:left w:type="dxa" w:w="140"/>
              <w:bottom w:type="dxa" w:w="120"/>
              <w:right w:type="dxa" w:w="120"/>
            </w:tcMar>
            <w:vAlign w:val="top"/>
          </w:tcPr>
          <w:p>
            <w:pPr>
              <w:spacing w:after="0" w:before="0"/>
              <w:jc w:val="left"/>
            </w:pPr>
            <w:r>
              <w:rPr>
                <w:rFonts w:ascii="Arial" w:cs="Arial" w:eastAsia="Arial" w:hAnsi="Arial"/>
                <w:b w:val="false"/>
                <w:bCs w:val="false"/>
                <w:i/>
                <w:iCs/>
                <w:color w:val="666666"/>
                <w:sz w:val="16"/>
                <w:szCs w:val="16"/>
              </w:rPr>
              <w:t xml:space="preserve">Report Date</w:t>
            </w:r>
          </w:p>
          <w:p>
            <w:pPr>
              <w:spacing w:after="0" w:before="0"/>
              <w:jc w:val="left"/>
            </w:pPr>
            <w:r>
              <w:rPr>
                <w:rFonts w:ascii="Arial" w:cs="Arial" w:eastAsia="Arial" w:hAnsi="Arial"/>
                <w:b/>
                <w:bCs/>
                <w:i w:val="false"/>
                <w:iCs w:val="false"/>
                <w:color w:val="1B2A4A"/>
                <w:sz w:val="20"/>
                <w:szCs w:val="20"/>
              </w:rPr>
              <w:t xml:space="preserve">31 March 2025</w:t>
            </w:r>
          </w:p>
        </w:tc>
        <w:tc>
          <w:tcPr>
            <w:tcW w:type="dxa" w:w="3250"/>
            <w:tcBorders>
              <w:top w:val="single" w:color="CCCCCC" w:sz="1"/>
              <w:left w:val="single" w:color="CCCCCC" w:sz="1"/>
              <w:bottom w:val="single" w:color="CCCCCC" w:sz="1"/>
              <w:right w:val="single" w:color="CCCCCC" w:sz="1"/>
            </w:tcBorders>
            <w:tcMar>
              <w:top w:type="dxa" w:w="120"/>
              <w:left w:type="dxa" w:w="140"/>
              <w:bottom w:type="dxa" w:w="120"/>
              <w:right w:type="dxa" w:w="120"/>
            </w:tcMar>
            <w:vAlign w:val="top"/>
          </w:tcPr>
          <w:p>
            <w:pPr>
              <w:spacing w:after="0" w:before="0"/>
              <w:jc w:val="left"/>
            </w:pPr>
            <w:r>
              <w:rPr>
                <w:rFonts w:ascii="Arial" w:cs="Arial" w:eastAsia="Arial" w:hAnsi="Arial"/>
                <w:b w:val="false"/>
                <w:bCs w:val="false"/>
                <w:i/>
                <w:iCs/>
                <w:color w:val="666666"/>
                <w:sz w:val="16"/>
                <w:szCs w:val="16"/>
              </w:rPr>
              <w:t xml:space="preserve">Document Ref</w:t>
            </w:r>
          </w:p>
          <w:p>
            <w:pPr>
              <w:spacing w:after="0" w:before="0"/>
              <w:jc w:val="left"/>
            </w:pPr>
            <w:r>
              <w:rPr>
                <w:rFonts w:ascii="Arial" w:cs="Arial" w:eastAsia="Arial" w:hAnsi="Arial"/>
                <w:b/>
                <w:bCs/>
                <w:i w:val="false"/>
                <w:iCs w:val="false"/>
                <w:color w:val="1B2A4A"/>
                <w:sz w:val="20"/>
                <w:szCs w:val="20"/>
              </w:rPr>
              <w:t xml:space="preserve">RCA-P3C-003</w:t>
            </w:r>
          </w:p>
        </w:tc>
      </w:tr>
    </w:tbl>
    <w:p>
      <w:pPr>
        <w:spacing w:after="300" w:before="0"/>
      </w:pPr>
      <w:r>
        <w:t xml:space="preserve"> </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EEF1F7" w:val="clear"/>
            <w:tcMar>
              <w:top w:type="dxa" w:w="120"/>
              <w:left w:type="dxa" w:w="180"/>
              <w:bottom w:type="dxa" w:w="120"/>
              <w:right w:type="dxa" w:w="180"/>
            </w:tcMar>
            <w:vAlign w:val="top"/>
          </w:tcPr>
          <w:p>
            <w:pPr>
              <w:spacing w:after="0" w:before="0"/>
              <w:jc w:val="left"/>
            </w:pPr>
            <w:r>
              <w:rPr>
                <w:rFonts w:ascii="Arial" w:cs="Arial" w:eastAsia="Arial" w:hAnsi="Arial"/>
                <w:b/>
                <w:bCs/>
                <w:i w:val="false"/>
                <w:iCs w:val="false"/>
                <w:color w:val="1B2A4A"/>
                <w:sz w:val="17"/>
                <w:szCs w:val="17"/>
              </w:rPr>
              <w:t xml:space="preserve">CONFIDENTIALITY NOTICE  </w:t>
            </w:r>
            <w:r>
              <w:rPr>
                <w:rFonts w:ascii="Arial" w:cs="Arial" w:eastAsia="Arial" w:hAnsi="Arial"/>
                <w:b w:val="false"/>
                <w:bCs w:val="false"/>
                <w:i/>
                <w:iCs/>
                <w:color w:val="666666"/>
                <w:sz w:val="17"/>
                <w:szCs w:val="17"/>
              </w:rPr>
              <w:t xml:space="preserve">This document is prepared exclusively for Al Ameen Insurance Company and contains confidential and proprietary information belonging to Resolute Compliance Advisory LLP. Unauthorised disclosure is strictly prohibited.</w:t>
            </w:r>
          </w:p>
        </w:tc>
      </w:tr>
    </w:tbl>
    <w:p>
      <w:r>
        <w:br w:type="page"/>
      </w:r>
    </w:p>
    <w:p>
      <w:pPr>
        <w:sectPr>
          <w:pgSz w:w="11906" w:h="16838" w:orient="portrait"/>
          <w:pgMar w:top="1080" w:right="1080" w:bottom="1080" w:left="1080" w:header="708" w:footer="708" w:gutter="0"/>
          <w:pgNumType/>
          <w:docGrid w:linePitch="360"/>
        </w:sectPr>
      </w:pPr>
    </w:p>
    <w:p>
      <w:pPr>
        <w:spacing w:after="120" w:before="0"/>
        <w:jc w:val="left"/>
      </w:pPr>
      <w:r>
        <w:rPr>
          <w:rFonts w:ascii="Arial" w:cs="Arial" w:eastAsia="Arial" w:hAnsi="Arial"/>
          <w:b/>
          <w:bCs/>
          <w:i w:val="false"/>
          <w:iCs w:val="false"/>
          <w:color w:val="1B2A4A"/>
          <w:sz w:val="22"/>
          <w:szCs w:val="22"/>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0" w:before="0"/>
              <w:jc w:val="left"/>
            </w:pPr>
            <w:r>
              <w:rPr>
                <w:rFonts w:ascii="Arial" w:cs="Arial" w:eastAsia="Arial" w:hAnsi="Arial"/>
                <w:b/>
                <w:bCs/>
                <w:i w:val="false"/>
                <w:iCs w:val="false"/>
                <w:color w:val="FFFFFF"/>
                <w:sz w:val="19"/>
                <w:szCs w:val="19"/>
              </w:rPr>
              <w:t xml:space="preserve">Field</w:t>
            </w:r>
          </w:p>
        </w:tc>
        <w:tc>
          <w:tcPr>
            <w:tcW w:type="dxa" w:w="6746"/>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0" w:before="0"/>
              <w:jc w:val="left"/>
            </w:pPr>
            <w:r>
              <w:rPr>
                <w:rFonts w:ascii="Arial" w:cs="Arial" w:eastAsia="Arial" w:hAnsi="Arial"/>
                <w:b/>
                <w:bCs/>
                <w:i w:val="false"/>
                <w:iCs w:val="false"/>
                <w:color w:val="FFFFFF"/>
                <w:sz w:val="19"/>
                <w:szCs w:val="19"/>
              </w:rPr>
              <w:t xml:space="preserve">Details</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Document Title</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Delta Assessment Findings Report — NCA ECC-2:2024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Document Ref</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RCA-P3C-003</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Client</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Al Ameen Insurance Company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Project</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NCA ECC-2:2024 Delta Assessment — Returning Engagement</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Prepared by</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kay Shahbaaz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Reviewed by</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Resolute Compliance Advisory LLP</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Report Date</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31 March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Version</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v1.0</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Classification</w:t>
            </w:r>
          </w:p>
        </w:tc>
        <w:tc>
          <w:tcPr>
            <w:tcW w:type="dxa" w:w="6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CONFIDENTIAL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19"/>
                <w:szCs w:val="19"/>
              </w:rPr>
              <w:t xml:space="preserve">Status</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Final</w:t>
            </w:r>
          </w:p>
        </w:tc>
      </w:tr>
    </w:tbl>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1</w:t>
            </w:r>
          </w:p>
        </w:tc>
        <w:tc>
          <w:tcPr>
            <w:tcW w:type="dxa" w:w="9146"/>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Executive Summary</w:t>
            </w:r>
          </w:p>
        </w:tc>
      </w:tr>
    </w:tbl>
    <w:p>
      <w:pPr>
        <w:spacing w:after="160" w:before="0"/>
      </w:pPr>
      <w:r>
        <w:t xml:space="preserve"> </w:t>
      </w:r>
    </w:p>
    <w:p>
      <w:pPr>
        <w:spacing w:after="120" w:before="0"/>
        <w:jc w:val="left"/>
      </w:pPr>
      <w:r>
        <w:rPr>
          <w:rFonts w:ascii="Arial" w:cs="Arial" w:eastAsia="Arial" w:hAnsi="Arial"/>
          <w:b w:val="false"/>
          <w:bCs w:val="false"/>
          <w:i w:val="false"/>
          <w:iCs w:val="false"/>
          <w:color w:val="1A1A1A"/>
          <w:sz w:val="19"/>
          <w:szCs w:val="19"/>
        </w:rPr>
        <w:t xml:space="preserve">This report presents the findings of the NCA ECC-2:2024 Delta Assessment conducted for Al Ameen Insurance Company by Resolute Compliance Advisory LLP during February and March 2025. This engagement is a continuation of the Project 3 audit (RCA-P3, October 2024), which assessed Al Ameen against NCA ECC-1:2018 and identified an overall conformance rate of 29.0% (33 of 114 controls conformant) and a SAMA CSF maturity score of 1.6 out of 4.0.</w:t>
      </w:r>
    </w:p>
    <w:p>
      <w:pPr>
        <w:spacing w:after="120" w:before="0"/>
        <w:jc w:val="left"/>
      </w:pPr>
      <w:r>
        <w:rPr>
          <w:rFonts w:ascii="Arial" w:cs="Arial" w:eastAsia="Arial" w:hAnsi="Arial"/>
          <w:b w:val="false"/>
          <w:bCs w:val="false"/>
          <w:i w:val="false"/>
          <w:iCs w:val="false"/>
          <w:color w:val="1A1A1A"/>
          <w:sz w:val="19"/>
          <w:szCs w:val="19"/>
        </w:rPr>
        <w:t xml:space="preserve">The delta assessment had two primary objectives: first, to verify the remediation progress made against the 30 corrective actions issued in October 2024; and second, to assess the Client's posture against the updated NCA ECC-2:2024 framework, which replaced ECC-1:2018 as the applicable regulatory baseline following its release in October 2024.</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1.1  Key Findings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Metric</w:t>
            </w:r>
          </w:p>
        </w:tc>
        <w:tc>
          <w:tcPr>
            <w:tcW w:type="dxa" w:w="243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Oct 2024 (ECC-1)</w:t>
            </w:r>
          </w:p>
        </w:tc>
        <w:tc>
          <w:tcPr>
            <w:tcW w:type="dxa" w:w="243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Mar 2025 (ECC-2)</w:t>
            </w:r>
          </w:p>
        </w:tc>
        <w:tc>
          <w:tcPr>
            <w:tcW w:type="dxa" w:w="2438"/>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Movement</w:t>
            </w:r>
          </w:p>
        </w:tc>
      </w:tr>
      <w:tr>
        <w:tc>
          <w:tcPr>
            <w:tcW w:type="dxa" w:w="243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Controls Framework</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ECC-1:2018 (114 controls)</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ECC-2:2024 (108 controls)</w:t>
            </w:r>
          </w:p>
        </w:tc>
        <w:tc>
          <w:tcPr>
            <w:tcW w:type="dxa" w:w="2438"/>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666666"/>
                <w:sz w:val="18"/>
                <w:szCs w:val="18"/>
              </w:rPr>
              <w:t xml:space="preserve">Framework updated Oct 2024</w:t>
            </w:r>
          </w:p>
        </w:tc>
      </w:tr>
      <w:tr>
        <w:tc>
          <w:tcPr>
            <w:tcW w:type="dxa" w:w="24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Overall Conformance</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29.0%  (33/114)</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39.0%  (42/108)</w:t>
            </w:r>
          </w:p>
        </w:tc>
        <w:tc>
          <w:tcPr>
            <w:tcW w:type="dxa" w:w="243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 +10 percentage points</w:t>
            </w:r>
          </w:p>
        </w:tc>
      </w:tr>
      <w:tr>
        <w:tc>
          <w:tcPr>
            <w:tcW w:type="dxa" w:w="243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Conformant Controls</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33</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42</w:t>
            </w:r>
          </w:p>
        </w:tc>
        <w:tc>
          <w:tcPr>
            <w:tcW w:type="dxa" w:w="2438"/>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 +9 controls</w:t>
            </w:r>
          </w:p>
        </w:tc>
      </w:tr>
      <w:tr>
        <w:tc>
          <w:tcPr>
            <w:tcW w:type="dxa" w:w="24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Partial Controls</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48</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44</w:t>
            </w:r>
          </w:p>
        </w:tc>
        <w:tc>
          <w:tcPr>
            <w:tcW w:type="dxa" w:w="243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 -4 (some elevated to Conformant)</w:t>
            </w:r>
          </w:p>
        </w:tc>
      </w:tr>
      <w:tr>
        <w:tc>
          <w:tcPr>
            <w:tcW w:type="dxa" w:w="243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Non-Conformant Controls</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33</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22</w:t>
            </w:r>
          </w:p>
        </w:tc>
        <w:tc>
          <w:tcPr>
            <w:tcW w:type="dxa" w:w="2438"/>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 -11 (remediated or N/A)</w:t>
            </w:r>
          </w:p>
        </w:tc>
      </w:tr>
      <w:tr>
        <w:tc>
          <w:tcPr>
            <w:tcW w:type="dxa" w:w="24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N/A Controls</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0</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4  (ICS/OT domain)</w:t>
            </w:r>
          </w:p>
        </w:tc>
        <w:tc>
          <w:tcPr>
            <w:tcW w:type="dxa" w:w="243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666666"/>
                <w:sz w:val="18"/>
                <w:szCs w:val="18"/>
              </w:rPr>
              <w:t xml:space="preserve">ICS/OT not applicable</w:t>
            </w:r>
          </w:p>
        </w:tc>
      </w:tr>
      <w:tr>
        <w:tc>
          <w:tcPr>
            <w:tcW w:type="dxa" w:w="243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New Delta Gaps (ECC-2)</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10 new gaps</w:t>
            </w:r>
          </w:p>
        </w:tc>
        <w:tc>
          <w:tcPr>
            <w:tcW w:type="dxa" w:w="2438"/>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666666"/>
                <w:sz w:val="18"/>
                <w:szCs w:val="18"/>
              </w:rPr>
              <w:t xml:space="preserve">New ECC-2:2024 requirements</w:t>
            </w:r>
          </w:p>
        </w:tc>
      </w:tr>
      <w:tr>
        <w:tc>
          <w:tcPr>
            <w:tcW w:type="dxa" w:w="24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Critical Findings</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5</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3</w:t>
            </w:r>
          </w:p>
        </w:tc>
        <w:tc>
          <w:tcPr>
            <w:tcW w:type="dxa" w:w="243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 2 resolved (CISO, shared creds)</w:t>
            </w:r>
          </w:p>
        </w:tc>
      </w:tr>
      <w:tr>
        <w:tc>
          <w:tcPr>
            <w:tcW w:type="dxa" w:w="243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High Findings</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5</w:t>
            </w:r>
          </w:p>
        </w:tc>
        <w:tc>
          <w:tcPr>
            <w:tcW w:type="dxa" w:w="243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4</w:t>
            </w:r>
          </w:p>
        </w:tc>
        <w:tc>
          <w:tcPr>
            <w:tcW w:type="dxa" w:w="2438"/>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 1 improved (log retention)</w:t>
            </w:r>
          </w:p>
        </w:tc>
      </w:tr>
      <w:tr>
        <w:tc>
          <w:tcPr>
            <w:tcW w:type="dxa" w:w="24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Live Risks Resolved</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1  (R-006 active)</w:t>
            </w:r>
          </w:p>
        </w:tc>
        <w:tc>
          <w:tcPr>
            <w:tcW w:type="dxa" w:w="243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0  (R-006 closed)</w:t>
            </w:r>
          </w:p>
        </w:tc>
        <w:tc>
          <w:tcPr>
            <w:tcW w:type="dxa" w:w="2438"/>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666666"/>
                <w:sz w:val="18"/>
                <w:szCs w:val="18"/>
              </w:rPr>
              <w:t xml:space="preserve">Shared Oracle creds revoked</w:t>
            </w:r>
          </w:p>
        </w:tc>
      </w:tr>
    </w:tbl>
    <w:p>
      <w:pPr>
        <w:spacing w:after="160" w:before="0"/>
      </w:pPr>
      <w:r>
        <w:t xml:space="preserve"> </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1.2  Auditor's Assessment</w:t>
      </w:r>
    </w:p>
    <w:p>
      <w:pPr>
        <w:spacing w:after="120" w:before="0"/>
        <w:jc w:val="left"/>
      </w:pPr>
      <w:r>
        <w:rPr>
          <w:rFonts w:ascii="Arial" w:cs="Arial" w:eastAsia="Arial" w:hAnsi="Arial"/>
          <w:b w:val="false"/>
          <w:bCs w:val="false"/>
          <w:i w:val="false"/>
          <w:iCs w:val="false"/>
          <w:color w:val="1A1A1A"/>
          <w:sz w:val="19"/>
          <w:szCs w:val="19"/>
        </w:rPr>
        <w:t xml:space="preserve">Phase 1 remediation has been materially effective. The resolution of the most critical live risk identified in Project 3 — shared Oracle Insurance production system administrator credentials (R-006, L5×I5=25) — is the single most significant security improvement observed in this assessment. The appointment of an IT Security Manager, ratification of a top-level cybersecurity policy, and the extension of log retention to 12 months (meeting the SAMA requirement) represent a credible foundation for the governance programme now being built.</w:t>
      </w:r>
    </w:p>
    <w:p>
      <w:pPr>
        <w:spacing w:after="120" w:before="0"/>
        <w:jc w:val="left"/>
      </w:pPr>
      <w:r>
        <w:rPr>
          <w:rFonts w:ascii="Arial" w:cs="Arial" w:eastAsia="Arial" w:hAnsi="Arial"/>
          <w:b w:val="false"/>
          <w:bCs w:val="false"/>
          <w:i w:val="false"/>
          <w:iCs w:val="false"/>
          <w:color w:val="1A1A1A"/>
          <w:sz w:val="19"/>
          <w:szCs w:val="19"/>
        </w:rPr>
        <w:t xml:space="preserve">However, the overall ECC-2:2024 conformance of 39% (42 of 108 controls) reflects the early stage of the organisation's cybersecurity journey. The Cybersecurity Resilience and Third-Party and Cloud Security domains remain critically weak. There is no incident response plan, no business continuity or disaster recovery capability, and no cybersecurity security clauses in contracts with key regulated counterparties Najm and Shafafiyah.</w:t>
      </w:r>
    </w:p>
    <w:p>
      <w:pPr>
        <w:spacing w:after="120" w:before="0"/>
        <w:jc w:val="left"/>
      </w:pPr>
      <w:r>
        <w:rPr>
          <w:rFonts w:ascii="Arial" w:cs="Arial" w:eastAsia="Arial" w:hAnsi="Arial"/>
          <w:b w:val="false"/>
          <w:bCs w:val="false"/>
          <w:i w:val="false"/>
          <w:iCs w:val="false"/>
          <w:color w:val="1A1A1A"/>
          <w:sz w:val="19"/>
          <w:szCs w:val="19"/>
        </w:rPr>
        <w:t xml:space="preserve">The ECC-2:2024 framework introduces ten new requirements that Al Ameen has not yet addressed, most significantly in cryptographic governance, supply chain security, quantum-readiness planning, and localised vendor governance for SAMA-regulated third parties. These new gaps represent emerging compliance obligations that must be incorporated into the Phase 2 and 3 remediation programme.</w:t>
      </w:r>
    </w:p>
    <w:p>
      <w:pPr>
        <w:spacing w:after="120" w:before="0"/>
        <w:jc w:val="left"/>
      </w:pPr>
      <w:r>
        <w:rPr>
          <w:rFonts w:ascii="Arial" w:cs="Arial" w:eastAsia="Arial" w:hAnsi="Arial"/>
          <w:b w:val="false"/>
          <w:bCs w:val="false"/>
          <w:i w:val="false"/>
          <w:iCs w:val="false"/>
          <w:color w:val="1A1A1A"/>
          <w:sz w:val="19"/>
          <w:szCs w:val="19"/>
        </w:rPr>
        <w:t xml:space="preserve">The trajectory is positive. If Phase 2 and 3 actions are executed as planned, Al Ameen is on track to achieve the 60% ECC-2:2024 conformance target set in the Phase 4 CAP action (CA-030) by October 2025.</w:t>
      </w:r>
    </w:p>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2</w:t>
            </w:r>
          </w:p>
        </w:tc>
        <w:tc>
          <w:tcPr>
            <w:tcW w:type="dxa" w:w="9146"/>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Assessment Methodology</w:t>
            </w:r>
          </w:p>
        </w:tc>
      </w:tr>
    </w:tbl>
    <w:p>
      <w:pPr>
        <w:spacing w:after="160" w:before="0"/>
      </w:pPr>
      <w:r>
        <w:t xml:space="preserve"> </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2.1  Delta Assessment Approach</w:t>
      </w:r>
    </w:p>
    <w:p>
      <w:pPr>
        <w:spacing w:after="80" w:before="0"/>
        <w:jc w:val="left"/>
      </w:pPr>
      <w:r>
        <w:rPr>
          <w:rFonts w:ascii="Arial" w:cs="Arial" w:eastAsia="Arial" w:hAnsi="Arial"/>
          <w:b w:val="false"/>
          <w:bCs w:val="false"/>
          <w:i w:val="false"/>
          <w:iCs w:val="false"/>
          <w:color w:val="1A1A1A"/>
          <w:sz w:val="19"/>
          <w:szCs w:val="19"/>
        </w:rPr>
        <w:t xml:space="preserve">This assessment was conducted as a delta assessment, not a full baseline audit. The delta methodology comprises three components:</w:t>
      </w:r>
    </w:p>
    <w:p>
      <w:pPr>
        <w:spacing w:after="60" w:before="0"/>
        <w:ind w:left="360"/>
        <w:jc w:val="left"/>
      </w:pPr>
      <w:r>
        <w:rPr>
          <w:rFonts w:ascii="Arial" w:cs="Arial" w:eastAsia="Arial" w:hAnsi="Arial"/>
          <w:b w:val="false"/>
          <w:bCs w:val="false"/>
          <w:i w:val="false"/>
          <w:iCs w:val="false"/>
          <w:color w:val="1A1A1A"/>
          <w:sz w:val="19"/>
          <w:szCs w:val="19"/>
        </w:rPr>
        <w:t xml:space="preserve">(a)  CAP Verification — evidence-based review of remediation progress against all 30 corrective actions from the Project 3 CAP (RCA-P3-005).</w:t>
      </w:r>
    </w:p>
    <w:p>
      <w:pPr>
        <w:spacing w:after="60" w:before="0"/>
        <w:ind w:left="360"/>
        <w:jc w:val="left"/>
      </w:pPr>
      <w:r>
        <w:rPr>
          <w:rFonts w:ascii="Arial" w:cs="Arial" w:eastAsia="Arial" w:hAnsi="Arial"/>
          <w:b w:val="false"/>
          <w:bCs w:val="false"/>
          <w:i w:val="false"/>
          <w:iCs w:val="false"/>
          <w:color w:val="1A1A1A"/>
          <w:sz w:val="19"/>
          <w:szCs w:val="19"/>
        </w:rPr>
        <w:t xml:space="preserve">(b)  Retained Control Reassessment — reassessment of controls that were Non-Conformant or Partial in the Project 3 baseline, to determine whether remediation evidence supports a change in status.</w:t>
      </w:r>
    </w:p>
    <w:p>
      <w:pPr>
        <w:spacing w:after="120" w:before="0"/>
        <w:ind w:left="360"/>
        <w:jc w:val="left"/>
      </w:pPr>
      <w:r>
        <w:rPr>
          <w:rFonts w:ascii="Arial" w:cs="Arial" w:eastAsia="Arial" w:hAnsi="Arial"/>
          <w:b w:val="false"/>
          <w:bCs w:val="false"/>
          <w:i w:val="false"/>
          <w:iCs w:val="false"/>
          <w:color w:val="1A1A1A"/>
          <w:sz w:val="19"/>
          <w:szCs w:val="19"/>
        </w:rPr>
        <w:t xml:space="preserve">(c)  New Control Assessment — assessment of controls introduced in ECC-2:2024 that have no direct ECC-1:2018 equivalent, to identify new gaps introduced by the updated framework.</w:t>
      </w:r>
    </w:p>
    <w:p>
      <w:pPr>
        <w:spacing w:after="120" w:before="0"/>
        <w:jc w:val="left"/>
      </w:pPr>
      <w:r>
        <w:rPr>
          <w:rFonts w:ascii="Arial" w:cs="Arial" w:eastAsia="Arial" w:hAnsi="Arial"/>
          <w:b w:val="false"/>
          <w:bCs w:val="false"/>
          <w:i w:val="false"/>
          <w:iCs w:val="false"/>
          <w:color w:val="1A1A1A"/>
          <w:sz w:val="19"/>
          <w:szCs w:val="19"/>
        </w:rPr>
        <w:t xml:space="preserve">Conformance status for each control was assessed as: Conformant (fully implemented with supporting evidence), Partial (partially implemented or evidence incomplete), Non-Conformant (not implemented), or N/A (not applicable to the Client's environment).</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2.2  ECC-2:2024 Key Changes from ECC-1:2018</w:t>
      </w:r>
    </w:p>
    <w:p>
      <w:pPr>
        <w:spacing w:after="80" w:before="0"/>
        <w:jc w:val="left"/>
      </w:pPr>
      <w:r>
        <w:rPr>
          <w:rFonts w:ascii="Arial" w:cs="Arial" w:eastAsia="Arial" w:hAnsi="Arial"/>
          <w:b w:val="false"/>
          <w:bCs w:val="false"/>
          <w:i w:val="false"/>
          <w:iCs w:val="false"/>
          <w:color w:val="1A1A1A"/>
          <w:sz w:val="19"/>
          <w:szCs w:val="19"/>
        </w:rPr>
        <w:t xml:space="preserve">NCA ECC-2:2024 restructures the control framework from 114 controls across 5 domains to 108 controls. The key changes relevant to Al Ameen Insurance Company 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046"/>
      </w:tblGrid>
      <w:tr>
        <w:tc>
          <w:tcPr>
            <w:tcW w:type="dxa" w:w="7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Change Area</w:t>
            </w:r>
          </w:p>
        </w:tc>
        <w:tc>
          <w:tcPr>
            <w:tcW w:type="dxa" w:w="604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Relevance to Al Ameen</w:t>
            </w:r>
          </w:p>
        </w:tc>
      </w:tr>
      <w:tr>
        <w:tc>
          <w:tcPr>
            <w:tcW w:type="dxa" w:w="7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1B2A4A"/>
                <w:sz w:val="18"/>
                <w:szCs w:val="18"/>
              </w:rPr>
              <w:t xml:space="preserve">1</w:t>
            </w:r>
          </w:p>
        </w:tc>
        <w:tc>
          <w:tcPr>
            <w:tcW w:type="dxa" w:w="30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Cryptographic Governance (New Domain 1-6)</w:t>
            </w:r>
          </w:p>
        </w:tc>
        <w:tc>
          <w:tcPr>
            <w:tcW w:type="dxa" w:w="60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Al Ameen has no cryptographic inventory and no quantum-readiness roadmap. Three new controls (1-6-1, 1-6-2, 1-6-3) are Non-Conformant.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1B2A4A"/>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Localised Vendor Governance (Enhanced Domain 4-2)</w:t>
            </w:r>
          </w:p>
        </w:tc>
        <w:tc>
          <w:tcPr>
            <w:tcW w:type="dxa" w:w="604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ECC-2:2024 requires SAMA-regulated third parties (Najm, Shafafiyah) to be subject to enhanced due diligence with explicit cybersecurity contract clauses. No such clauses exist.</w:t>
            </w:r>
          </w:p>
        </w:tc>
      </w:tr>
      <w:tr>
        <w:tc>
          <w:tcPr>
            <w:tcW w:type="dxa" w:w="7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1B2A4A"/>
                <w:sz w:val="18"/>
                <w:szCs w:val="18"/>
              </w:rPr>
              <w:t xml:space="preserve">3</w:t>
            </w:r>
          </w:p>
        </w:tc>
        <w:tc>
          <w:tcPr>
            <w:tcW w:type="dxa" w:w="30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Supply Chain Cybersecurity (New Domain 1-7)</w:t>
            </w:r>
          </w:p>
        </w:tc>
        <w:tc>
          <w:tcPr>
            <w:tcW w:type="dxa" w:w="60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Three new controls require supply chain risk assessment for technology suppliers and reinsurance partners (Munich Re, Swiss Re). Not addressed.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1B2A4A"/>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Cloud Security Baseline (Enhanced Domain 4-3)</w:t>
            </w:r>
          </w:p>
        </w:tc>
        <w:tc>
          <w:tcPr>
            <w:tcW w:type="dxa" w:w="604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Stricter cloud security baseline requirements for Azure KSA workloads. Azure cloud access MFA now Conformant; cloud security posture management (CSPM) and exit strategy remain Non-Conformant.</w:t>
            </w:r>
          </w:p>
        </w:tc>
      </w:tr>
      <w:tr>
        <w:tc>
          <w:tcPr>
            <w:tcW w:type="dxa" w:w="7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1B2A4A"/>
                <w:sz w:val="18"/>
                <w:szCs w:val="18"/>
              </w:rPr>
              <w:t xml:space="preserve">5</w:t>
            </w:r>
          </w:p>
        </w:tc>
        <w:tc>
          <w:tcPr>
            <w:tcW w:type="dxa" w:w="30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Threat Intelligence (New Sub-Domain 3-4)</w:t>
            </w:r>
          </w:p>
        </w:tc>
        <w:tc>
          <w:tcPr>
            <w:tcW w:type="dxa" w:w="60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Two new controls require threat intelligence capability and integration with vulnerability management. Not addressed.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1B2A4A"/>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A1A1A"/>
                <w:sz w:val="18"/>
                <w:szCs w:val="18"/>
              </w:rPr>
              <w:t xml:space="preserve">Control Consolidation</w:t>
            </w:r>
          </w:p>
        </w:tc>
        <w:tc>
          <w:tcPr>
            <w:tcW w:type="dxa" w:w="604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114 controls consolidated to 108. Some ECC-1 controls merged or restructured. Where a merged control is assessed, the more conservative status is applied.</w:t>
            </w:r>
          </w:p>
        </w:tc>
      </w:tr>
    </w:tbl>
    <w:p>
      <w:pPr>
        <w:spacing w:after="120" w:before="0"/>
      </w:pPr>
      <w:r>
        <w:t xml:space="preserve"> </w:t>
      </w:r>
    </w:p>
    <w:p>
      <w:pPr>
        <w:spacing w:after="120" w:before="0"/>
        <w:jc w:val="left"/>
      </w:pPr>
      <w:r>
        <w:rPr>
          <w:rFonts w:ascii="Arial" w:cs="Arial" w:eastAsia="Arial" w:hAnsi="Arial"/>
          <w:b w:val="false"/>
          <w:bCs w:val="false"/>
          <w:i w:val="false"/>
          <w:iCs w:val="false"/>
          <w:color w:val="1A1A1A"/>
          <w:sz w:val="19"/>
          <w:szCs w:val="19"/>
        </w:rPr>
        <w:t xml:space="preserve">Fieldwork was conducted between 10 February and 14 March 2025, comprising document reviews, system walkthroughs (Oracle Insurance, Guidewire, Azure AD, Azure Sentinel, Microsoft 365), and stakeholder interviews with the IT Security Manager, IT Operations Manager, Oracle system administrator, Azure administrator, and Procurement representative.</w:t>
      </w:r>
    </w:p>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3</w:t>
            </w:r>
          </w:p>
        </w:tc>
        <w:tc>
          <w:tcPr>
            <w:tcW w:type="dxa" w:w="9146"/>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Remediation Progress — Phase 1 CAP Verification</w:t>
            </w:r>
          </w:p>
        </w:tc>
      </w:tr>
    </w:tbl>
    <w:p>
      <w:pPr>
        <w:spacing w:after="160" w:before="0"/>
      </w:pPr>
      <w:r>
        <w:t xml:space="preserve"> </w:t>
      </w:r>
    </w:p>
    <w:p>
      <w:pPr>
        <w:spacing w:after="120" w:before="0"/>
        <w:jc w:val="left"/>
      </w:pPr>
      <w:r>
        <w:rPr>
          <w:rFonts w:ascii="Arial" w:cs="Arial" w:eastAsia="Arial" w:hAnsi="Arial"/>
          <w:b w:val="false"/>
          <w:bCs w:val="false"/>
          <w:i w:val="false"/>
          <w:iCs w:val="false"/>
          <w:color w:val="1A1A1A"/>
          <w:sz w:val="19"/>
          <w:szCs w:val="19"/>
        </w:rPr>
        <w:t xml:space="preserve">The Project 3 CAP (RCA-P3-005) comprised 30 corrective actions across four phases. Phase 1 (November–December 2024) targeted the eight most urgent actions. Phase 2 commenced in January 2025. The table below summarises the verified status of all 30 actions as at 03 February 2025.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800"/>
        <w:gridCol w:w="3146"/>
      </w:tblGrid>
      <w:tr>
        <w:tc>
          <w:tcPr>
            <w:tcW w:type="dxa" w:w="14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Phase</w:t>
            </w:r>
          </w:p>
        </w:tc>
        <w:tc>
          <w:tcPr>
            <w:tcW w:type="dxa" w:w="34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Period</w:t>
            </w:r>
          </w:p>
        </w:tc>
        <w:tc>
          <w:tcPr>
            <w:tcW w:type="dxa" w:w="18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Actions</w:t>
            </w:r>
          </w:p>
        </w:tc>
        <w:tc>
          <w:tcPr>
            <w:tcW w:type="dxa" w:w="314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Phase 1</w:t>
            </w:r>
          </w:p>
        </w:tc>
        <w:tc>
          <w:tcPr>
            <w:tcW w:type="dxa" w:w="3400"/>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Nov – Dec 2024</w:t>
            </w:r>
          </w:p>
        </w:tc>
        <w:tc>
          <w:tcPr>
            <w:tcW w:type="dxa" w:w="1800"/>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E6B3C"/>
                <w:sz w:val="18"/>
                <w:szCs w:val="18"/>
              </w:rPr>
              <w:t xml:space="preserve">8 actions</w:t>
            </w:r>
          </w:p>
        </w:tc>
        <w:tc>
          <w:tcPr>
            <w:tcW w:type="dxa" w:w="3146"/>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7 Complete, 1 In Progress — CISO appointed, Oracle shared credentials revoked, Azure AD MFA enabled, log retention extended, cybersecurity policy ratified, initial awareness training delivered, critical asset inventory completed</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Phase 2</w:t>
            </w:r>
          </w:p>
        </w:tc>
        <w:tc>
          <w:tcPr>
            <w:tcW w:type="dxa" w:w="34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Jan – Apr 2025</w:t>
            </w:r>
          </w:p>
        </w:tc>
        <w:tc>
          <w:tcPr>
            <w:tcW w:type="dxa" w:w="18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B45309"/>
                <w:sz w:val="18"/>
                <w:szCs w:val="18"/>
              </w:rPr>
              <w:t xml:space="preserve">11 actions</w:t>
            </w:r>
          </w:p>
        </w:tc>
        <w:tc>
          <w:tcPr>
            <w:tcW w:type="dxa" w:w="31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 In Progress (risk assessment, vulnerability tool procurement, Azure Sentinel), 1 Complete (CA-009 board ratification), 7 Not Started — third-party framework, IRP, network segmentation, EDR not initiated</w:t>
            </w:r>
          </w:p>
        </w:tc>
      </w:tr>
      <w:tr>
        <w:tc>
          <w:tcPr>
            <w:tcW w:type="dxa" w:w="1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Phase 3</w:t>
            </w:r>
          </w:p>
        </w:tc>
        <w:tc>
          <w:tcPr>
            <w:tcW w:type="dxa" w:w="3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May – Jul 2025</w:t>
            </w:r>
          </w:p>
        </w:tc>
        <w:tc>
          <w:tcPr>
            <w:tcW w:type="dxa" w:w="18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8B1A1A"/>
                <w:sz w:val="18"/>
                <w:szCs w:val="18"/>
              </w:rPr>
              <w:t xml:space="preserve">7 actions</w:t>
            </w:r>
          </w:p>
        </w:tc>
        <w:tc>
          <w:tcPr>
            <w:tcW w:type="dxa" w:w="31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Not Started — BCP/DRP, full SIEM deployment, IRP testing, penetration test, patch management</w:t>
            </w:r>
          </w:p>
        </w:tc>
      </w:tr>
      <w:tr>
        <w:tc>
          <w:tcPr>
            <w:tcW w:type="dxa" w:w="1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Phase 4</w:t>
            </w:r>
          </w:p>
        </w:tc>
        <w:tc>
          <w:tcPr>
            <w:tcW w:type="dxa" w:w="34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Aug – Oct 2025</w:t>
            </w:r>
          </w:p>
        </w:tc>
        <w:tc>
          <w:tcPr>
            <w:tcW w:type="dxa" w:w="18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8B1A1A"/>
                <w:sz w:val="18"/>
                <w:szCs w:val="18"/>
              </w:rPr>
              <w:t xml:space="preserve">4 actions</w:t>
            </w:r>
          </w:p>
        </w:tc>
        <w:tc>
          <w:tcPr>
            <w:tcW w:type="dxa" w:w="31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Not Started — annual awareness programme, contract review, ECC-2:2024 conformance target</w:t>
            </w:r>
          </w:p>
        </w:tc>
      </w:tr>
    </w:tbl>
    <w:p>
      <w:pPr>
        <w:spacing w:after="120" w:before="0"/>
      </w:pPr>
      <w:r>
        <w:t xml:space="preserve"> </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3.1  Phase 1 Achievements</w:t>
      </w:r>
    </w:p>
    <w:p>
      <w:pPr>
        <w:spacing w:after="80" w:before="0"/>
        <w:jc w:val="left"/>
      </w:pPr>
      <w:r>
        <w:rPr>
          <w:rFonts w:ascii="Arial" w:cs="Arial" w:eastAsia="Arial" w:hAnsi="Arial"/>
          <w:b w:val="false"/>
          <w:bCs w:val="false"/>
          <w:i w:val="false"/>
          <w:iCs w:val="false"/>
          <w:color w:val="1A1A1A"/>
          <w:sz w:val="19"/>
          <w:szCs w:val="19"/>
        </w:rPr>
        <w:t xml:space="preserve">Seven of the eight Phase 1 actions have been completed and verified with evidence:</w:t>
      </w:r>
    </w:p>
    <w:p>
      <w:pPr>
        <w:spacing w:after="40" w:before="0"/>
        <w:jc w:val="left"/>
      </w:pPr>
      <w:r>
        <w:rPr>
          <w:rFonts w:ascii="Arial" w:cs="Arial" w:eastAsia="Arial" w:hAnsi="Arial"/>
          <w:b/>
          <w:bCs/>
          <w:i w:val="false"/>
          <w:iCs w:val="false"/>
          <w:color w:val="1B2A4A"/>
          <w:sz w:val="19"/>
          <w:szCs w:val="19"/>
        </w:rPr>
        <w:t xml:space="preserve">CA-001 — IT Security Manager Appointed:</w:t>
      </w:r>
    </w:p>
    <w:p>
      <w:pPr>
        <w:spacing w:after="100" w:before="0"/>
        <w:jc w:val="left"/>
      </w:pPr>
      <w:r>
        <w:rPr>
          <w:rFonts w:ascii="Arial" w:cs="Arial" w:eastAsia="Arial" w:hAnsi="Arial"/>
          <w:b w:val="false"/>
          <w:bCs w:val="false"/>
          <w:i w:val="false"/>
          <w:iCs w:val="false"/>
          <w:color w:val="1A1A1A"/>
          <w:sz w:val="19"/>
          <w:szCs w:val="19"/>
        </w:rPr>
        <w:t xml:space="preserve">An IT Security Manager has been appointed from within the IT Operations team. A formal appointment letter and role description have been issued. The IT Security Manager has a defined reporting line to the IT Director, with cybersecurity status reports presented to the Board quarterly.</w:t>
      </w:r>
    </w:p>
    <w:p>
      <w:pPr>
        <w:spacing w:after="40" w:before="0"/>
        <w:jc w:val="left"/>
      </w:pPr>
      <w:r>
        <w:rPr>
          <w:rFonts w:ascii="Arial" w:cs="Arial" w:eastAsia="Arial" w:hAnsi="Arial"/>
          <w:b/>
          <w:bCs/>
          <w:i w:val="false"/>
          <w:iCs w:val="false"/>
          <w:color w:val="1B2A4A"/>
          <w:sz w:val="19"/>
          <w:szCs w:val="19"/>
        </w:rPr>
        <w:t xml:space="preserve">CA-002 — Oracle Shared Credentials Revoked:</w:t>
      </w:r>
    </w:p>
    <w:p>
      <w:pPr>
        <w:spacing w:after="100" w:before="0"/>
        <w:jc w:val="left"/>
      </w:pPr>
      <w:r>
        <w:rPr>
          <w:rFonts w:ascii="Arial" w:cs="Arial" w:eastAsia="Arial" w:hAnsi="Arial"/>
          <w:b w:val="false"/>
          <w:bCs w:val="false"/>
          <w:i w:val="false"/>
          <w:iCs w:val="false"/>
          <w:color w:val="1A1A1A"/>
          <w:sz w:val="19"/>
          <w:szCs w:val="19"/>
        </w:rPr>
        <w:t xml:space="preserve">The shared Oracle Insurance production system administrator account ('oracle_admin') has been deactivated. Three individual named administrator accounts have been provisioned, each with unique credentials and role-appropriate permissions. This resolves the Project 3 live risk R-006 (L5×I5=25 — Critical).</w:t>
      </w:r>
    </w:p>
    <w:p>
      <w:pPr>
        <w:spacing w:after="40" w:before="0"/>
        <w:jc w:val="left"/>
      </w:pPr>
      <w:r>
        <w:rPr>
          <w:rFonts w:ascii="Arial" w:cs="Arial" w:eastAsia="Arial" w:hAnsi="Arial"/>
          <w:b/>
          <w:bCs/>
          <w:i w:val="false"/>
          <w:iCs w:val="false"/>
          <w:color w:val="1B2A4A"/>
          <w:sz w:val="19"/>
          <w:szCs w:val="19"/>
        </w:rPr>
        <w:t xml:space="preserve">CA-003 — Azure AD MFA Enabled:</w:t>
      </w:r>
    </w:p>
    <w:p>
      <w:pPr>
        <w:spacing w:after="100" w:before="0"/>
        <w:jc w:val="left"/>
      </w:pPr>
      <w:r>
        <w:rPr>
          <w:rFonts w:ascii="Arial" w:cs="Arial" w:eastAsia="Arial" w:hAnsi="Arial"/>
          <w:b w:val="false"/>
          <w:bCs w:val="false"/>
          <w:i w:val="false"/>
          <w:iCs w:val="false"/>
          <w:color w:val="1A1A1A"/>
          <w:sz w:val="19"/>
          <w:szCs w:val="19"/>
        </w:rPr>
        <w:t xml:space="preserve">Multi-factor authentication has been enforced via Azure AD conditional access policy for all 14 privileged accounts and global administrators. Enforcement confirmed via Azure AD conditional access policy export.</w:t>
      </w:r>
    </w:p>
    <w:p>
      <w:pPr>
        <w:spacing w:after="40" w:before="0"/>
        <w:jc w:val="left"/>
      </w:pPr>
      <w:r>
        <w:rPr>
          <w:rFonts w:ascii="Arial" w:cs="Arial" w:eastAsia="Arial" w:hAnsi="Arial"/>
          <w:b/>
          <w:bCs/>
          <w:i w:val="false"/>
          <w:iCs w:val="false"/>
          <w:color w:val="1B2A4A"/>
          <w:sz w:val="19"/>
          <w:szCs w:val="19"/>
        </w:rPr>
        <w:t xml:space="preserve">CA-004 — Log Retention Extended:</w:t>
      </w:r>
    </w:p>
    <w:p>
      <w:pPr>
        <w:spacing w:after="100" w:before="0"/>
        <w:jc w:val="left"/>
      </w:pPr>
      <w:r>
        <w:rPr>
          <w:rFonts w:ascii="Arial" w:cs="Arial" w:eastAsia="Arial" w:hAnsi="Arial"/>
          <w:b w:val="false"/>
          <w:bCs w:val="false"/>
          <w:i w:val="false"/>
          <w:iCs w:val="false"/>
          <w:color w:val="1A1A1A"/>
          <w:sz w:val="19"/>
          <w:szCs w:val="19"/>
        </w:rPr>
        <w:t xml:space="preserve">Log retention in Azure Monitor and Log Analytics workspaces has been extended to 365 days, meeting the SAMA minimum requirement of 12 months. This resolves Project 3 finding F-010.</w:t>
      </w:r>
    </w:p>
    <w:p>
      <w:pPr>
        <w:spacing w:after="40" w:before="0"/>
        <w:jc w:val="left"/>
      </w:pPr>
      <w:r>
        <w:rPr>
          <w:rFonts w:ascii="Arial" w:cs="Arial" w:eastAsia="Arial" w:hAnsi="Arial"/>
          <w:b/>
          <w:bCs/>
          <w:i w:val="false"/>
          <w:iCs w:val="false"/>
          <w:color w:val="1B2A4A"/>
          <w:sz w:val="19"/>
          <w:szCs w:val="19"/>
        </w:rPr>
        <w:t xml:space="preserve">CA-005 &amp; CA-009 — Cybersecurity Policy Ratified:</w:t>
      </w:r>
    </w:p>
    <w:p>
      <w:pPr>
        <w:spacing w:after="100" w:before="0"/>
        <w:jc w:val="left"/>
      </w:pPr>
      <w:r>
        <w:rPr>
          <w:rFonts w:ascii="Arial" w:cs="Arial" w:eastAsia="Arial" w:hAnsi="Arial"/>
          <w:b w:val="false"/>
          <w:bCs w:val="false"/>
          <w:i w:val="false"/>
          <w:iCs w:val="false"/>
          <w:color w:val="1A1A1A"/>
          <w:sz w:val="19"/>
          <w:szCs w:val="19"/>
        </w:rPr>
        <w:t xml:space="preserve">A top-level Cybersecurity Policy (v1.0) has been drafted and ratified by the Board at the January 2025 Board meeting. The policy has been communicated to all staff. Supporting procedures are in development under Phase 2.</w:t>
      </w:r>
    </w:p>
    <w:p>
      <w:pPr>
        <w:spacing w:after="40" w:before="0"/>
        <w:jc w:val="left"/>
      </w:pPr>
      <w:r>
        <w:rPr>
          <w:rFonts w:ascii="Arial" w:cs="Arial" w:eastAsia="Arial" w:hAnsi="Arial"/>
          <w:b/>
          <w:bCs/>
          <w:i w:val="false"/>
          <w:iCs w:val="false"/>
          <w:color w:val="1B2A4A"/>
          <w:sz w:val="19"/>
          <w:szCs w:val="19"/>
        </w:rPr>
        <w:t xml:space="preserve">CA-006 — Initial Awareness Training Delivered:</w:t>
      </w:r>
    </w:p>
    <w:p>
      <w:pPr>
        <w:spacing w:after="100" w:before="0"/>
        <w:jc w:val="left"/>
      </w:pPr>
      <w:r>
        <w:rPr>
          <w:rFonts w:ascii="Arial" w:cs="Arial" w:eastAsia="Arial" w:hAnsi="Arial"/>
          <w:b w:val="false"/>
          <w:bCs w:val="false"/>
          <w:i w:val="false"/>
          <w:iCs w:val="false"/>
          <w:color w:val="1A1A1A"/>
          <w:sz w:val="19"/>
          <w:szCs w:val="19"/>
        </w:rPr>
        <w:t xml:space="preserve">An all-staff cybersecurity awareness training session was delivered in December 2024. Attendance: 271 of 290 employees (93.4%). A make-up session for the 19 non-attendees has been scheduled for March 2025.</w:t>
      </w:r>
    </w:p>
    <w:p>
      <w:pPr>
        <w:spacing w:after="40" w:before="0"/>
        <w:jc w:val="left"/>
      </w:pPr>
      <w:r>
        <w:rPr>
          <w:rFonts w:ascii="Arial" w:cs="Arial" w:eastAsia="Arial" w:hAnsi="Arial"/>
          <w:b/>
          <w:bCs/>
          <w:i w:val="false"/>
          <w:iCs w:val="false"/>
          <w:color w:val="1B2A4A"/>
          <w:sz w:val="19"/>
          <w:szCs w:val="19"/>
        </w:rPr>
        <w:t xml:space="preserve">CA-007 — Critical Asset Inventory Completed:</w:t>
      </w:r>
    </w:p>
    <w:p>
      <w:pPr>
        <w:spacing w:after="100" w:before="0"/>
        <w:jc w:val="left"/>
      </w:pPr>
      <w:r>
        <w:rPr>
          <w:rFonts w:ascii="Arial" w:cs="Arial" w:eastAsia="Arial" w:hAnsi="Arial"/>
          <w:b w:val="false"/>
          <w:bCs w:val="false"/>
          <w:i w:val="false"/>
          <w:iCs w:val="false"/>
          <w:color w:val="1A1A1A"/>
          <w:sz w:val="19"/>
          <w:szCs w:val="19"/>
        </w:rPr>
        <w:t xml:space="preserve">An asset register covering 47 critical systems has been produced, including Oracle Insurance, Guidewire, Azure AD, and network infrastructure. The register is currently maintained in Excel; deployment of a CMDB tool is a Phase 2 action (CA-012).</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3.2  Phase 1 Outstanding Action</w:t>
      </w:r>
    </w:p>
    <w:p>
      <w:pPr>
        <w:spacing w:after="120" w:before="0"/>
        <w:jc w:val="left"/>
      </w:pPr>
      <w:r>
        <w:rPr>
          <w:rFonts w:ascii="Arial" w:cs="Arial" w:eastAsia="Arial" w:hAnsi="Arial"/>
          <w:b w:val="false"/>
          <w:bCs w:val="false"/>
          <w:i w:val="false"/>
          <w:iCs w:val="false"/>
          <w:color w:val="1A1A1A"/>
          <w:sz w:val="19"/>
          <w:szCs w:val="19"/>
        </w:rPr>
        <w:t xml:space="preserve">CA-008 — Third-Party Risk Framework:  A third-party risk management framework consultant has been engaged and a vendor selected. The framework draft has not yet been produced. This action is carried forward as In Progress into Phase 2.</w:t>
      </w:r>
    </w:p>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4</w:t>
            </w:r>
          </w:p>
        </w:tc>
        <w:tc>
          <w:tcPr>
            <w:tcW w:type="dxa" w:w="9146"/>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ECC-2:2024 Domain Conformance Results</w:t>
            </w:r>
          </w:p>
        </w:tc>
      </w:tr>
    </w:tbl>
    <w:p>
      <w:pPr>
        <w:spacing w:after="160" w:before="0"/>
      </w:pPr>
      <w:r>
        <w:t xml:space="preserve"> </w:t>
      </w:r>
    </w:p>
    <w:p>
      <w:pPr>
        <w:spacing w:after="120" w:before="0"/>
        <w:jc w:val="left"/>
      </w:pPr>
      <w:r>
        <w:rPr>
          <w:rFonts w:ascii="Arial" w:cs="Arial" w:eastAsia="Arial" w:hAnsi="Arial"/>
          <w:b w:val="false"/>
          <w:bCs w:val="false"/>
          <w:i w:val="false"/>
          <w:iCs w:val="false"/>
          <w:color w:val="1A1A1A"/>
          <w:sz w:val="19"/>
          <w:szCs w:val="19"/>
        </w:rPr>
        <w:t xml:space="preserve">The table below presents the ECC-2:2024 conformance results by domain, comparing the March 2025 assessment against the October 2024 ECC-1:2018 baseline.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2746"/>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Domain</w:t>
            </w:r>
          </w:p>
        </w:tc>
        <w:tc>
          <w:tcPr>
            <w:tcW w:type="dxa" w:w="1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Controls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Conformant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Conformance %</w:t>
            </w:r>
          </w:p>
        </w:tc>
        <w:tc>
          <w:tcPr>
            <w:tcW w:type="dxa" w:w="274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Key Observation</w:t>
            </w:r>
          </w:p>
        </w:tc>
      </w:tr>
      <w:tr>
        <w:tc>
          <w:tcPr>
            <w:tcW w:type="dxa" w:w="3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1. Cybersecurity Governance</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B45309"/>
                <w:sz w:val="18"/>
                <w:szCs w:val="18"/>
              </w:rPr>
              <w:t xml:space="preserve">28</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B45309"/>
                <w:sz w:val="18"/>
                <w:szCs w:val="18"/>
              </w:rPr>
              <w:t xml:space="preserve">9</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B45309"/>
                <w:sz w:val="18"/>
                <w:szCs w:val="18"/>
              </w:rPr>
              <w:t xml:space="preserve">32%</w:t>
            </w:r>
          </w:p>
        </w:tc>
        <w:tc>
          <w:tcPr>
            <w:tcW w:type="dxa" w:w="27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Policy ratified and CISO-equivalent appointed — meaningful progress. Risk assessment, training programme, and cryptographic governance remain open.</w:t>
            </w:r>
          </w:p>
        </w:tc>
      </w:tr>
      <w:tr>
        <w:tc>
          <w:tcPr>
            <w:tcW w:type="dxa" w:w="3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2. Cybersecurity Defence</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B45309"/>
                <w:sz w:val="18"/>
                <w:szCs w:val="18"/>
              </w:rPr>
              <w:t xml:space="preserve">44</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B45309"/>
                <w:sz w:val="18"/>
                <w:szCs w:val="18"/>
              </w:rPr>
              <w:t xml:space="preserve">22</w:t>
            </w:r>
          </w:p>
        </w:tc>
        <w:tc>
          <w:tcPr>
            <w:tcW w:type="dxa" w:w="120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B45309"/>
                <w:sz w:val="18"/>
                <w:szCs w:val="18"/>
              </w:rPr>
              <w:t xml:space="preserve">50%</w:t>
            </w:r>
          </w:p>
        </w:tc>
        <w:tc>
          <w:tcPr>
            <w:tcW w:type="dxa" w:w="2746"/>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IAM significantly improved: shared credentials revoked, MFA enforced on privileged accounts. Vulnerability management, EDR, and application security remain absent.</w:t>
            </w:r>
          </w:p>
        </w:tc>
      </w:tr>
      <w:tr>
        <w:tc>
          <w:tcPr>
            <w:tcW w:type="dxa" w:w="3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3. Cybersecurity Resilience</w:t>
            </w:r>
          </w:p>
        </w:tc>
        <w:tc>
          <w:tcPr>
            <w:tcW w:type="dxa" w:w="1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8B1A1A"/>
                <w:sz w:val="18"/>
                <w:szCs w:val="18"/>
              </w:rPr>
              <w:t xml:space="preserve">17</w:t>
            </w:r>
          </w:p>
        </w:tc>
        <w:tc>
          <w:tcPr>
            <w:tcW w:type="dxa" w:w="1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8B1A1A"/>
                <w:sz w:val="18"/>
                <w:szCs w:val="18"/>
              </w:rPr>
              <w:t xml:space="preserve">5</w:t>
            </w:r>
          </w:p>
        </w:tc>
        <w:tc>
          <w:tcPr>
            <w:tcW w:type="dxa" w:w="1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8B1A1A"/>
                <w:sz w:val="18"/>
                <w:szCs w:val="18"/>
              </w:rPr>
              <w:t xml:space="preserve">29%</w:t>
            </w:r>
          </w:p>
        </w:tc>
        <w:tc>
          <w:tcPr>
            <w:tcW w:type="dxa" w:w="27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Log retention resolved (SAMA compliant). SIEM provisioned but not fully operational. IRP, BCP/DRP entirely absent.</w:t>
            </w:r>
          </w:p>
        </w:tc>
      </w:tr>
      <w:tr>
        <w:tc>
          <w:tcPr>
            <w:tcW w:type="dxa" w:w="3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4. Third-Party &amp; Cloud Security</w:t>
            </w:r>
          </w:p>
        </w:tc>
        <w:tc>
          <w:tcPr>
            <w:tcW w:type="dxa" w:w="1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8B1A1A"/>
                <w:sz w:val="18"/>
                <w:szCs w:val="18"/>
              </w:rPr>
              <w:t xml:space="preserve">15</w:t>
            </w:r>
          </w:p>
        </w:tc>
        <w:tc>
          <w:tcPr>
            <w:tcW w:type="dxa" w:w="1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8B1A1A"/>
                <w:sz w:val="18"/>
                <w:szCs w:val="18"/>
              </w:rPr>
              <w:t xml:space="preserve">4</w:t>
            </w:r>
          </w:p>
        </w:tc>
        <w:tc>
          <w:tcPr>
            <w:tcW w:type="dxa" w:w="120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8B1A1A"/>
                <w:sz w:val="18"/>
                <w:szCs w:val="18"/>
              </w:rPr>
              <w:t xml:space="preserve">27%</w:t>
            </w:r>
          </w:p>
        </w:tc>
        <w:tc>
          <w:tcPr>
            <w:tcW w:type="dxa" w:w="2746"/>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New ECC-2:2024 localised vendor governance requirements not met. No security clauses in Najm, Shafafiyah contracts. Azure cloud access improved.</w:t>
            </w:r>
          </w:p>
        </w:tc>
      </w:tr>
      <w:tr>
        <w:tc>
          <w:tcPr>
            <w:tcW w:type="dxa" w:w="3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5. ICS/OT Security</w:t>
            </w:r>
          </w:p>
        </w:tc>
        <w:tc>
          <w:tcPr>
            <w:tcW w:type="dxa" w:w="12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666666"/>
                <w:sz w:val="18"/>
                <w:szCs w:val="18"/>
              </w:rPr>
              <w:t xml:space="preserve">4</w:t>
            </w:r>
          </w:p>
        </w:tc>
        <w:tc>
          <w:tcPr>
            <w:tcW w:type="dxa" w:w="12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666666"/>
                <w:sz w:val="18"/>
                <w:szCs w:val="18"/>
              </w:rPr>
              <w:t xml:space="preserve">N/A</w:t>
            </w:r>
          </w:p>
        </w:tc>
        <w:tc>
          <w:tcPr>
            <w:tcW w:type="dxa" w:w="12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center"/>
          </w:tcPr>
          <w:p>
            <w:pPr>
              <w:spacing w:after="0" w:before="0"/>
              <w:jc w:val="left"/>
            </w:pPr>
            <w:r>
              <w:rPr>
                <w:rFonts w:ascii="Arial" w:cs="Arial" w:eastAsia="Arial" w:hAnsi="Arial"/>
                <w:b w:val="false"/>
                <w:bCs w:val="false"/>
                <w:i w:val="false"/>
                <w:iCs w:val="false"/>
                <w:color w:val="666666"/>
                <w:sz w:val="18"/>
                <w:szCs w:val="18"/>
              </w:rPr>
              <w:t xml:space="preserve">N/A</w:t>
            </w:r>
          </w:p>
        </w:tc>
        <w:tc>
          <w:tcPr>
            <w:tcW w:type="dxa" w:w="27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Domain not applicable to Al Ameen Insurance — insurance operations do not involve industrial control systems.</w:t>
            </w:r>
          </w:p>
        </w:tc>
      </w:tr>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TOTAL</w:t>
            </w:r>
          </w:p>
        </w:tc>
        <w:tc>
          <w:tcPr>
            <w:tcW w:type="dxa" w:w="1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108</w:t>
            </w:r>
          </w:p>
        </w:tc>
        <w:tc>
          <w:tcPr>
            <w:tcW w:type="dxa" w:w="1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42</w:t>
            </w:r>
          </w:p>
        </w:tc>
        <w:tc>
          <w:tcPr>
            <w:tcW w:type="dxa" w:w="1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39%</w:t>
            </w:r>
          </w:p>
        </w:tc>
        <w:tc>
          <w:tcPr>
            <w:tcW w:type="dxa" w:w="274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FFFFFF"/>
                <w:sz w:val="18"/>
                <w:szCs w:val="18"/>
              </w:rPr>
              <w:t xml:space="preserve">Net improvement of 10 percentage points from ECC-1 baseline (29%). Phase 1 remediation demonstrably effective on governance and IAM controls.</w:t>
            </w:r>
          </w:p>
        </w:tc>
      </w:tr>
    </w:tbl>
    <w:p>
      <w:pPr>
        <w:spacing w:after="120" w:before="0"/>
      </w:pPr>
      <w:r>
        <w:t xml:space="preserve"> </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4.1  Domain 1 — Cybersecurity Governance (32% Conformant)</w:t>
      </w:r>
    </w:p>
    <w:p>
      <w:pPr>
        <w:spacing w:after="120" w:before="0"/>
        <w:jc w:val="left"/>
      </w:pPr>
      <w:r>
        <w:rPr>
          <w:rFonts w:ascii="Arial" w:cs="Arial" w:eastAsia="Arial" w:hAnsi="Arial"/>
          <w:b w:val="false"/>
          <w:bCs w:val="false"/>
          <w:i w:val="false"/>
          <w:iCs w:val="false"/>
          <w:color w:val="1A1A1A"/>
          <w:sz w:val="19"/>
          <w:szCs w:val="19"/>
        </w:rPr>
        <w:t xml:space="preserve">Domain 1 shows the most significant improvement from the Project 3 baseline, reflecting the Phase 1 governance actions. The cybersecurity policy has been ratified (ECC-2 control 1-3-1: Conformant), an IT Security Manager appointed (partial fulfilment of 1-1-3 and 1-1-4), and an initial awareness training session delivered (1-4-1: Partial — one session, not annual programme). The risk assessment process has commenced (1-2-1, 1-2-2: Partial — workshops underway, register not complete).</w:t>
      </w:r>
    </w:p>
    <w:p>
      <w:pPr>
        <w:spacing w:after="120" w:before="0"/>
        <w:jc w:val="left"/>
      </w:pPr>
      <w:r>
        <w:rPr>
          <w:rFonts w:ascii="Arial" w:cs="Arial" w:eastAsia="Arial" w:hAnsi="Arial"/>
          <w:b w:val="false"/>
          <w:bCs w:val="false"/>
          <w:i w:val="false"/>
          <w:iCs w:val="false"/>
          <w:color w:val="1A1A1A"/>
          <w:sz w:val="19"/>
          <w:szCs w:val="19"/>
        </w:rPr>
        <w:t xml:space="preserve">Three new ECC-2:2024 sub-domains within Domain 1 are entirely Non-Conformant: cryptographic governance (1-6-1 to 1-6-4), supply chain security (1-7-1 to 1-7-3), and associated key management requirements. These represent new compliance obligations with no remediation initiated.</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4.2  Domain 2 — Cybersecurity Defence (50% Conformant)</w:t>
      </w:r>
    </w:p>
    <w:p>
      <w:pPr>
        <w:spacing w:after="120" w:before="0"/>
        <w:jc w:val="left"/>
      </w:pPr>
      <w:r>
        <w:rPr>
          <w:rFonts w:ascii="Arial" w:cs="Arial" w:eastAsia="Arial" w:hAnsi="Arial"/>
          <w:b w:val="false"/>
          <w:bCs w:val="false"/>
          <w:i w:val="false"/>
          <w:iCs w:val="false"/>
          <w:color w:val="1A1A1A"/>
          <w:sz w:val="19"/>
          <w:szCs w:val="19"/>
        </w:rPr>
        <w:t xml:space="preserve">Domain 2 is the strongest performing domain, driven by the Identity and Access Management improvements in Phase 1. The revocation of shared Oracle credentials (2-2-3: Conformant), enforcement of Azure AD MFA (2-2-4: Conformant), and formalisation of the access control policy (2-2-1: Conformant) represent a material uplift in the IAM sub-domain.</w:t>
      </w:r>
    </w:p>
    <w:p>
      <w:pPr>
        <w:spacing w:after="120" w:before="0"/>
        <w:jc w:val="left"/>
      </w:pPr>
      <w:r>
        <w:rPr>
          <w:rFonts w:ascii="Arial" w:cs="Arial" w:eastAsia="Arial" w:hAnsi="Arial"/>
          <w:b w:val="false"/>
          <w:bCs w:val="false"/>
          <w:i w:val="false"/>
          <w:iCs w:val="false"/>
          <w:color w:val="1A1A1A"/>
          <w:sz w:val="19"/>
          <w:szCs w:val="19"/>
        </w:rPr>
        <w:t xml:space="preserve">However, vulnerability management remains entirely absent (2-3-1 to 2-3-5: Non-Conformant or Not Started). No vulnerability scans have been conducted, no patching schedule exists, and the Tenable.io procurement remains in progress. Application security (2-6-1 to 2-6-4), data security (2-7-1 to 2-7-5), and security testing (2-10-1, 2-10-2) are entirely Non-Conformant.</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4.3  Domain 3 — Cybersecurity Resilience (29% Conformant)</w:t>
      </w:r>
    </w:p>
    <w:p>
      <w:pPr>
        <w:spacing w:after="120" w:before="0"/>
        <w:jc w:val="left"/>
      </w:pPr>
      <w:r>
        <w:rPr>
          <w:rFonts w:ascii="Arial" w:cs="Arial" w:eastAsia="Arial" w:hAnsi="Arial"/>
          <w:b w:val="false"/>
          <w:bCs w:val="false"/>
          <w:i w:val="false"/>
          <w:iCs w:val="false"/>
          <w:color w:val="1A1A1A"/>
          <w:sz w:val="19"/>
          <w:szCs w:val="19"/>
        </w:rPr>
        <w:t xml:space="preserve">Domain 3 remains critically weak. The only material improvement is in log management: log retention is now SAMA-compliant (3-3-2: Conformant) and Azure Sentinel has been provisioned (3-3-3: Partial). All other sub-domains are Non-Conformant: no incident response plan (3-1-1 to 3-1-6), no BCP or DRP (3-2-1 to 3-2-5), and no threat intelligence capability (3-4-1, 3-4-2 — new ECC-2:2024 requirements).</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4.4  Domain 4 — Third-Party and Cloud Security (27% Conformant)</w:t>
      </w:r>
    </w:p>
    <w:p>
      <w:pPr>
        <w:spacing w:after="120" w:before="0"/>
        <w:jc w:val="left"/>
      </w:pPr>
      <w:r>
        <w:rPr>
          <w:rFonts w:ascii="Arial" w:cs="Arial" w:eastAsia="Arial" w:hAnsi="Arial"/>
          <w:b w:val="false"/>
          <w:bCs w:val="false"/>
          <w:i w:val="false"/>
          <w:iCs w:val="false"/>
          <w:color w:val="1A1A1A"/>
          <w:sz w:val="19"/>
          <w:szCs w:val="19"/>
        </w:rPr>
        <w:t xml:space="preserve">Domain 4 is the lowest-performing applicable domain. The new ECC-2:2024 localised vendor governance requirements (4-2-2, 4-2-3) are Non-Conformant: no cybersecurity security clauses exist in the Najm or Shafafiyah contracts, and no data residency verification has been conducted. The cloud security sub-domain shows marginal improvement — Azure cloud access MFA is now Conformant (4-3-4) and Azure's ISO 27001 certification has been verified (4-3-7) — but CSPM, cloud security baseline documentation, and exit strategy remain Non-Conformant.</w:t>
      </w:r>
    </w:p>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5</w:t>
            </w:r>
          </w:p>
        </w:tc>
        <w:tc>
          <w:tcPr>
            <w:tcW w:type="dxa" w:w="9146"/>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Detailed Findings</w:t>
            </w:r>
          </w:p>
        </w:tc>
      </w:tr>
    </w:tbl>
    <w:p>
      <w:pPr>
        <w:spacing w:after="160" w:before="0"/>
      </w:pPr>
      <w:r>
        <w:t xml:space="preserve"> </w:t>
      </w:r>
    </w:p>
    <w:p>
      <w:pPr>
        <w:spacing w:after="80" w:before="0"/>
        <w:jc w:val="left"/>
      </w:pPr>
      <w:r>
        <w:rPr>
          <w:rFonts w:ascii="Arial" w:cs="Arial" w:eastAsia="Arial" w:hAnsi="Arial"/>
          <w:b w:val="false"/>
          <w:bCs w:val="false"/>
          <w:i w:val="false"/>
          <w:iCs w:val="false"/>
          <w:color w:val="1A1A1A"/>
          <w:sz w:val="19"/>
          <w:szCs w:val="19"/>
        </w:rPr>
        <w:t xml:space="preserve">This section presents detailed findings arising from the delta assessment. Findings are presented in two categories: (A) New Delta Gaps — requirements introduced in ECC-2:2024 with no ECC-1:2018 equivalent; and (B) Retained Findings — significant findings from Project 3 that remain open or only partially remediated.</w:t>
      </w:r>
    </w:p>
    <w:p>
      <w:pPr>
        <w:spacing w:after="120" w:before="0"/>
        <w:jc w:val="left"/>
      </w:pPr>
      <w:r>
        <w:rPr>
          <w:rFonts w:ascii="Arial" w:cs="Arial" w:eastAsia="Arial" w:hAnsi="Arial"/>
          <w:b w:val="false"/>
          <w:bCs w:val="false"/>
          <w:i w:val="false"/>
          <w:iCs w:val="false"/>
          <w:color w:val="1A1A1A"/>
          <w:sz w:val="19"/>
          <w:szCs w:val="19"/>
        </w:rPr>
        <w:t xml:space="preserve">A total of 7 findings are presented: 3 Critical, 4 High.</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5.1  New Delta Gaps (ECC-2:2024)</w:t>
      </w:r>
    </w:p>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40"/>
              <w:right w:type="dxa" w:w="80"/>
            </w:tcMar>
            <w:vAlign w:val="top"/>
          </w:tcPr>
          <w:p>
            <w:pPr>
              <w:spacing w:after="0" w:before="0"/>
              <w:jc w:val="left"/>
            </w:pPr>
            <w:r>
              <w:rPr>
                <w:rFonts w:ascii="Arial" w:cs="Arial" w:eastAsia="Arial" w:hAnsi="Arial"/>
                <w:b/>
                <w:bCs/>
                <w:i w:val="false"/>
                <w:iCs w:val="false"/>
                <w:color w:val="FFFFFF"/>
                <w:sz w:val="20"/>
                <w:szCs w:val="20"/>
              </w:rPr>
              <w:t xml:space="preserve">DG-001</w:t>
            </w:r>
          </w:p>
        </w:tc>
        <w:tc>
          <w:tcPr>
            <w:tcW w:type="dxa" w:w="8146"/>
            <w:tcBorders>
              <w:top w:val="single" w:color="CCCCCC" w:sz="1"/>
              <w:left w:val="single" w:color="CCCCCC" w:sz="1"/>
              <w:bottom w:val="single" w:color="CCCCCC" w:sz="1"/>
              <w:right w:val="single" w:color="CCCCCC" w:sz="1"/>
            </w:tcBorders>
            <w:shd w:fill="EEF1F7" w:val="clear"/>
            <w:tcMar>
              <w:top w:type="dxa" w:w="100"/>
              <w:left w:type="dxa" w:w="140"/>
              <w:bottom w:type="dxa" w:w="40"/>
              <w:right w:type="dxa" w:w="120"/>
            </w:tcMar>
            <w:vAlign w:val="top"/>
          </w:tcPr>
          <w:p>
            <w:pPr>
              <w:spacing w:after="0" w:before="0"/>
              <w:jc w:val="left"/>
            </w:pPr>
            <w:r>
              <w:rPr>
                <w:rFonts w:ascii="Arial" w:cs="Arial" w:eastAsia="Arial" w:hAnsi="Arial"/>
                <w:b/>
                <w:bCs/>
                <w:i w:val="false"/>
                <w:iCs w:val="false"/>
                <w:color w:val="1B2A4A"/>
                <w:sz w:val="20"/>
                <w:szCs w:val="20"/>
              </w:rPr>
              <w:t xml:space="preserve">No Cryptographic Controls Policy or Inventory</w:t>
            </w:r>
          </w:p>
        </w:tc>
      </w:tr>
      <w:tr>
        <w:tc>
          <w:tcPr>
            <w:tcW w:type="dxa" w:w="1600"/>
            <w:tcBorders>
              <w:top w:val="single" w:color="CCCCCC" w:sz="1"/>
              <w:left w:val="single" w:color="CCCCCC" w:sz="1"/>
              <w:bottom w:val="single" w:color="CCCCCC" w:sz="1"/>
              <w:right w:val="single" w:color="CCCCCC" w:sz="1"/>
            </w:tcBorders>
            <w:shd w:fill="1B2A4A" w:val="clear"/>
            <w:tcMar>
              <w:top w:type="dxa" w:w="40"/>
              <w:left w:type="dxa" w:w="140"/>
              <w:bottom w:type="dxa" w:w="100"/>
              <w:right w:type="dxa" w:w="80"/>
            </w:tcMar>
            <w:vAlign w:val="top"/>
          </w:tcPr>
          <w:p>
            <w:pPr>
              <w:spacing w:after="0" w:before="0"/>
              <w:jc w:val="left"/>
            </w:pPr>
            <w:r>
              <w:rPr>
                <w:rFonts w:ascii="Arial" w:cs="Arial" w:eastAsia="Arial" w:hAnsi="Arial"/>
                <w:b w:val="false"/>
                <w:bCs w:val="false"/>
                <w:i/>
                <w:iCs/>
                <w:color w:val="666666"/>
                <w:sz w:val="17"/>
                <w:szCs w:val="17"/>
              </w:rPr>
              <w:t xml:space="preserve">Severity</w:t>
            </w:r>
          </w:p>
        </w:tc>
        <w:tc>
          <w:tcPr>
            <w:tcW w:type="dxa" w:w="8146"/>
            <w:tcBorders>
              <w:top w:val="single" w:color="CCCCCC" w:sz="1"/>
              <w:left w:val="single" w:color="CCCCCC" w:sz="1"/>
              <w:bottom w:val="single" w:color="CCCCCC" w:sz="1"/>
              <w:right w:val="single" w:color="CCCCCC" w:sz="1"/>
            </w:tcBorders>
            <w:shd w:fill="FFCDD2" w:val="clear"/>
            <w:tcMar>
              <w:top w:type="dxa" w:w="40"/>
              <w:left w:type="dxa" w:w="140"/>
              <w:bottom w:type="dxa" w:w="100"/>
              <w:right w:type="dxa" w:w="120"/>
            </w:tcMar>
            <w:vAlign w:val="top"/>
          </w:tcPr>
          <w:p>
            <w:pPr>
              <w:spacing w:after="0" w:before="0"/>
              <w:jc w:val="left"/>
            </w:pPr>
            <w:r>
              <w:rPr>
                <w:rFonts w:ascii="Arial" w:cs="Arial" w:eastAsia="Arial" w:hAnsi="Arial"/>
                <w:b/>
                <w:bCs/>
                <w:i w:val="false"/>
                <w:iCs w:val="false"/>
                <w:color w:val="8B1A1A"/>
                <w:sz w:val="18"/>
                <w:szCs w:val="18"/>
              </w:rPr>
              <w:t xml:space="preserve">Critical</w:t>
            </w:r>
            <w:r>
              <w:rPr>
                <w:rFonts w:ascii="Arial" w:cs="Arial" w:eastAsia="Arial" w:hAnsi="Arial"/>
                <w:b w:val="false"/>
                <w:bCs w:val="false"/>
                <w:i w:val="false"/>
                <w:iCs w:val="false"/>
                <w:color w:val="666666"/>
                <w:sz w:val="17"/>
                <w:szCs w:val="17"/>
              </w:rPr>
              <w:t xml:space="preserve">   |   Domain: Cybersecurity Governance — Domain 1   |   Controls: ECC-2:2024: 1-6-1, 1-6-2, 1-6-3, 1-6-4</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Observation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ECC-2:2024 introduces a new cryptographic governance sub-domain (1-6) requiring Al Ameen to: (a) establish a cryptographic controls policy covering approved algorithms, key lengths, and key management requirements; (b) maintain a cryptographic inventory documenting all certificates, keys, and cryptographic assets across Oracle Insurance, Guidewire, Azure AD, and Azure KSA workloads; (c) develop a quantum-readiness roadmap planning migration from algorithms vulnerable to quantum computing threats; and (d) document key management procedures covering generation, distribution, storage, rotation, and destruction. None of these requirements have been addressed. Al Ameen has no visibility into the cryptographic assets deployed across its environment.</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Impact</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Without a cryptographic inventory, Al Ameen cannot identify expired certificates, weak algorithms (e.g. SHA-1, RSA-1024), or unmanaged keys. Certificate expiry events on Oracle Insurance or Guidewire could cause unplanned system outages. The absence of a quantum-readiness roadmap leaves the organisation without a plan to address a regulatory requirement that NCA has signalled will be subject to future enforcement timelines.</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Recommendation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Develop and implement a cryptographic controls policy within 60 days. Conduct a cryptographic asset discovery exercise across Oracle Insurance, Guidewire, Azure AD, and Azure KSA workloads, producing an inventory with asset owner, algorithm, key length, expiry date, and renewal process. Engage a specialist to develop a quantum-readiness roadmap aligned to NCA guidance. Establish a certificate lifecycle management process with automated expiry alerting.</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Evidence Reviewed</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relevant documentation found. ECC-2:2024 controls 1-6-1 through 1-6-4 assessed as Non-Conformant. No evidence of cryptographic inventory, policy, or key management procedures.</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Status</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New ECC-2:2024 Gap. No remediation initiated. Recommended for inclusion in Phase 2 CAP.</w:t>
            </w:r>
          </w:p>
        </w:tc>
      </w:tr>
    </w:tbl>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40"/>
              <w:right w:type="dxa" w:w="80"/>
            </w:tcMar>
            <w:vAlign w:val="top"/>
          </w:tcPr>
          <w:p>
            <w:pPr>
              <w:spacing w:after="0" w:before="0"/>
              <w:jc w:val="left"/>
            </w:pPr>
            <w:r>
              <w:rPr>
                <w:rFonts w:ascii="Arial" w:cs="Arial" w:eastAsia="Arial" w:hAnsi="Arial"/>
                <w:b/>
                <w:bCs/>
                <w:i w:val="false"/>
                <w:iCs w:val="false"/>
                <w:color w:val="FFFFFF"/>
                <w:sz w:val="20"/>
                <w:szCs w:val="20"/>
              </w:rPr>
              <w:t xml:space="preserve">DG-002</w:t>
            </w:r>
          </w:p>
        </w:tc>
        <w:tc>
          <w:tcPr>
            <w:tcW w:type="dxa" w:w="8146"/>
            <w:tcBorders>
              <w:top w:val="single" w:color="CCCCCC" w:sz="1"/>
              <w:left w:val="single" w:color="CCCCCC" w:sz="1"/>
              <w:bottom w:val="single" w:color="CCCCCC" w:sz="1"/>
              <w:right w:val="single" w:color="CCCCCC" w:sz="1"/>
            </w:tcBorders>
            <w:shd w:fill="EEF1F7" w:val="clear"/>
            <w:tcMar>
              <w:top w:type="dxa" w:w="100"/>
              <w:left w:type="dxa" w:w="140"/>
              <w:bottom w:type="dxa" w:w="40"/>
              <w:right w:type="dxa" w:w="120"/>
            </w:tcMar>
            <w:vAlign w:val="top"/>
          </w:tcPr>
          <w:p>
            <w:pPr>
              <w:spacing w:after="0" w:before="0"/>
              <w:jc w:val="left"/>
            </w:pPr>
            <w:r>
              <w:rPr>
                <w:rFonts w:ascii="Arial" w:cs="Arial" w:eastAsia="Arial" w:hAnsi="Arial"/>
                <w:b/>
                <w:bCs/>
                <w:i w:val="false"/>
                <w:iCs w:val="false"/>
                <w:color w:val="1B2A4A"/>
                <w:sz w:val="20"/>
                <w:szCs w:val="20"/>
              </w:rPr>
              <w:t xml:space="preserve">No Cybersecurity Security Clauses in SAMA-Regulated Third-Party Contracts</w:t>
            </w:r>
          </w:p>
        </w:tc>
      </w:tr>
      <w:tr>
        <w:tc>
          <w:tcPr>
            <w:tcW w:type="dxa" w:w="1600"/>
            <w:tcBorders>
              <w:top w:val="single" w:color="CCCCCC" w:sz="1"/>
              <w:left w:val="single" w:color="CCCCCC" w:sz="1"/>
              <w:bottom w:val="single" w:color="CCCCCC" w:sz="1"/>
              <w:right w:val="single" w:color="CCCCCC" w:sz="1"/>
            </w:tcBorders>
            <w:shd w:fill="1B2A4A" w:val="clear"/>
            <w:tcMar>
              <w:top w:type="dxa" w:w="40"/>
              <w:left w:type="dxa" w:w="140"/>
              <w:bottom w:type="dxa" w:w="100"/>
              <w:right w:type="dxa" w:w="80"/>
            </w:tcMar>
            <w:vAlign w:val="top"/>
          </w:tcPr>
          <w:p>
            <w:pPr>
              <w:spacing w:after="0" w:before="0"/>
              <w:jc w:val="left"/>
            </w:pPr>
            <w:r>
              <w:rPr>
                <w:rFonts w:ascii="Arial" w:cs="Arial" w:eastAsia="Arial" w:hAnsi="Arial"/>
                <w:b w:val="false"/>
                <w:bCs w:val="false"/>
                <w:i/>
                <w:iCs/>
                <w:color w:val="666666"/>
                <w:sz w:val="17"/>
                <w:szCs w:val="17"/>
              </w:rPr>
              <w:t xml:space="preserve">Severity</w:t>
            </w:r>
          </w:p>
        </w:tc>
        <w:tc>
          <w:tcPr>
            <w:tcW w:type="dxa" w:w="8146"/>
            <w:tcBorders>
              <w:top w:val="single" w:color="CCCCCC" w:sz="1"/>
              <w:left w:val="single" w:color="CCCCCC" w:sz="1"/>
              <w:bottom w:val="single" w:color="CCCCCC" w:sz="1"/>
              <w:right w:val="single" w:color="CCCCCC" w:sz="1"/>
            </w:tcBorders>
            <w:shd w:fill="FFCDD2" w:val="clear"/>
            <w:tcMar>
              <w:top w:type="dxa" w:w="40"/>
              <w:left w:type="dxa" w:w="140"/>
              <w:bottom w:type="dxa" w:w="100"/>
              <w:right w:type="dxa" w:w="120"/>
            </w:tcMar>
            <w:vAlign w:val="top"/>
          </w:tcPr>
          <w:p>
            <w:pPr>
              <w:spacing w:after="0" w:before="0"/>
              <w:jc w:val="left"/>
            </w:pPr>
            <w:r>
              <w:rPr>
                <w:rFonts w:ascii="Arial" w:cs="Arial" w:eastAsia="Arial" w:hAnsi="Arial"/>
                <w:b/>
                <w:bCs/>
                <w:i w:val="false"/>
                <w:iCs w:val="false"/>
                <w:color w:val="8B1A1A"/>
                <w:sz w:val="18"/>
                <w:szCs w:val="18"/>
              </w:rPr>
              <w:t xml:space="preserve">Critical</w:t>
            </w:r>
            <w:r>
              <w:rPr>
                <w:rFonts w:ascii="Arial" w:cs="Arial" w:eastAsia="Arial" w:hAnsi="Arial"/>
                <w:b w:val="false"/>
                <w:bCs w:val="false"/>
                <w:i w:val="false"/>
                <w:iCs w:val="false"/>
                <w:color w:val="666666"/>
                <w:sz w:val="17"/>
                <w:szCs w:val="17"/>
              </w:rPr>
              <w:t xml:space="preserve">   |   Domain: Third-Party &amp; Cloud Security — Domain 4   |   Controls: ECC-2:2024: 4-2-2, 4-2-3, 4-1-2</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Observation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ECC-2:2024 introduces enhanced localised vendor governance requirements (4-2) specifically targeting SAMA-regulated and NCA-designated third parties. Al Ameen interfaces with two such parties: Najm (motor claims data exchange) and Shafafiyah (SAMA regulatory reporting). A review of the current contracts with both parties confirms that neither contains cybersecurity obligations, incident notification requirements, right-to-audit clauses, or data residency verification documentation. This was also identified as a Non-Conformant finding in the Project 3 audit (F-004) under ECC-1:2018 and has not been remediated in Phase 1.</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Impact</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Al Ameen has no contractual right to audit the cybersecurity posture of Najm or Shafafiyah, no mechanism to require incident notification if either party suffers a breach affecting Al Ameen's data, and no verified confirmation that motor claims and SAMA reporting data is processed within the Kingdom of Saudi Arabia as required by NCA data residency requirements. A cybersecurity incident at Najm could result in the exposure of motor claims data affecting Al Ameen's policyholders, with no contractual remedies available.</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Recommendation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Engage legal counsel to draft cybersecurity addenda for the Najm and Shafafiyah contracts, incorporating: (a) cybersecurity obligations aligned to NCA ECC-2:2024; (b) mandatory incident notification within 24 hours of a confirmed breach; (c) right-to-audit provisions permitting Al Ameen or its appointed assessor to review the counterparty's cybersecurity controls; (d) data residency confirmation for all data exchanged. Target contract execution within 90 days. Conduct enhanced due diligence reviews of both counterparties' NCA ECC-2:2024 compliance posture.</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Evidence Reviewed</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Najm contract reviewed — no cybersecurity clauses confirmed (EV-024). Shafafiyah contract reviewed — no cybersecurity clauses confirmed (EV-025). ECC-2:2024 controls 4-2-2 and 4-2-3 assessed as Non-Conformant. CA-011 (Phase 2) not yet initiated.</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Status</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Retained from Project 3 (F-004) and expanded under ECC-2:2024 localised vendor governance requirements. High priority for Phase 2.</w:t>
            </w:r>
          </w:p>
        </w:tc>
      </w:tr>
    </w:tbl>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40"/>
              <w:right w:type="dxa" w:w="80"/>
            </w:tcMar>
            <w:vAlign w:val="top"/>
          </w:tcPr>
          <w:p>
            <w:pPr>
              <w:spacing w:after="0" w:before="0"/>
              <w:jc w:val="left"/>
            </w:pPr>
            <w:r>
              <w:rPr>
                <w:rFonts w:ascii="Arial" w:cs="Arial" w:eastAsia="Arial" w:hAnsi="Arial"/>
                <w:b/>
                <w:bCs/>
                <w:i w:val="false"/>
                <w:iCs w:val="false"/>
                <w:color w:val="FFFFFF"/>
                <w:sz w:val="20"/>
                <w:szCs w:val="20"/>
              </w:rPr>
              <w:t xml:space="preserve">DG-003</w:t>
            </w:r>
          </w:p>
        </w:tc>
        <w:tc>
          <w:tcPr>
            <w:tcW w:type="dxa" w:w="8146"/>
            <w:tcBorders>
              <w:top w:val="single" w:color="CCCCCC" w:sz="1"/>
              <w:left w:val="single" w:color="CCCCCC" w:sz="1"/>
              <w:bottom w:val="single" w:color="CCCCCC" w:sz="1"/>
              <w:right w:val="single" w:color="CCCCCC" w:sz="1"/>
            </w:tcBorders>
            <w:shd w:fill="EEF1F7" w:val="clear"/>
            <w:tcMar>
              <w:top w:type="dxa" w:w="100"/>
              <w:left w:type="dxa" w:w="140"/>
              <w:bottom w:type="dxa" w:w="40"/>
              <w:right w:type="dxa" w:w="120"/>
            </w:tcMar>
            <w:vAlign w:val="top"/>
          </w:tcPr>
          <w:p>
            <w:pPr>
              <w:spacing w:after="0" w:before="0"/>
              <w:jc w:val="left"/>
            </w:pPr>
            <w:r>
              <w:rPr>
                <w:rFonts w:ascii="Arial" w:cs="Arial" w:eastAsia="Arial" w:hAnsi="Arial"/>
                <w:b/>
                <w:bCs/>
                <w:i w:val="false"/>
                <w:iCs w:val="false"/>
                <w:color w:val="1B2A4A"/>
                <w:sz w:val="20"/>
                <w:szCs w:val="20"/>
              </w:rPr>
              <w:t xml:space="preserve">Supply Chain Cybersecurity Risk Not Assessed — Reinsurance Partners</w:t>
            </w:r>
          </w:p>
        </w:tc>
      </w:tr>
      <w:tr>
        <w:tc>
          <w:tcPr>
            <w:tcW w:type="dxa" w:w="1600"/>
            <w:tcBorders>
              <w:top w:val="single" w:color="CCCCCC" w:sz="1"/>
              <w:left w:val="single" w:color="CCCCCC" w:sz="1"/>
              <w:bottom w:val="single" w:color="CCCCCC" w:sz="1"/>
              <w:right w:val="single" w:color="CCCCCC" w:sz="1"/>
            </w:tcBorders>
            <w:shd w:fill="1B2A4A" w:val="clear"/>
            <w:tcMar>
              <w:top w:type="dxa" w:w="40"/>
              <w:left w:type="dxa" w:w="140"/>
              <w:bottom w:type="dxa" w:w="100"/>
              <w:right w:type="dxa" w:w="80"/>
            </w:tcMar>
            <w:vAlign w:val="top"/>
          </w:tcPr>
          <w:p>
            <w:pPr>
              <w:spacing w:after="0" w:before="0"/>
              <w:jc w:val="left"/>
            </w:pPr>
            <w:r>
              <w:rPr>
                <w:rFonts w:ascii="Arial" w:cs="Arial" w:eastAsia="Arial" w:hAnsi="Arial"/>
                <w:b w:val="false"/>
                <w:bCs w:val="false"/>
                <w:i/>
                <w:iCs/>
                <w:color w:val="666666"/>
                <w:sz w:val="17"/>
                <w:szCs w:val="17"/>
              </w:rPr>
              <w:t xml:space="preserve">Severity</w:t>
            </w:r>
          </w:p>
        </w:tc>
        <w:tc>
          <w:tcPr>
            <w:tcW w:type="dxa" w:w="8146"/>
            <w:tcBorders>
              <w:top w:val="single" w:color="CCCCCC" w:sz="1"/>
              <w:left w:val="single" w:color="CCCCCC" w:sz="1"/>
              <w:bottom w:val="single" w:color="CCCCCC" w:sz="1"/>
              <w:right w:val="single" w:color="CCCCCC" w:sz="1"/>
            </w:tcBorders>
            <w:shd w:fill="FFF9C4" w:val="clear"/>
            <w:tcMar>
              <w:top w:type="dxa" w:w="40"/>
              <w:left w:type="dxa" w:w="140"/>
              <w:bottom w:type="dxa" w:w="100"/>
              <w:right w:type="dxa" w:w="120"/>
            </w:tcMar>
            <w:vAlign w:val="top"/>
          </w:tcPr>
          <w:p>
            <w:pPr>
              <w:spacing w:after="0" w:before="0"/>
              <w:jc w:val="left"/>
            </w:pPr>
            <w:r>
              <w:rPr>
                <w:rFonts w:ascii="Arial" w:cs="Arial" w:eastAsia="Arial" w:hAnsi="Arial"/>
                <w:b/>
                <w:bCs/>
                <w:i w:val="false"/>
                <w:iCs w:val="false"/>
                <w:color w:val="B45309"/>
                <w:sz w:val="18"/>
                <w:szCs w:val="18"/>
              </w:rPr>
              <w:t xml:space="preserve">High</w:t>
            </w:r>
            <w:r>
              <w:rPr>
                <w:rFonts w:ascii="Arial" w:cs="Arial" w:eastAsia="Arial" w:hAnsi="Arial"/>
                <w:b w:val="false"/>
                <w:bCs w:val="false"/>
                <w:i w:val="false"/>
                <w:iCs w:val="false"/>
                <w:color w:val="666666"/>
                <w:sz w:val="17"/>
                <w:szCs w:val="17"/>
              </w:rPr>
              <w:t xml:space="preserve">   |   Domain: Cybersecurity Governance — Domain 1   |   Controls: ECC-2:2024: 1-7-1, 1-7-2, 1-7-3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Observation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ECC-2:2024 introduces a new supply chain cybersecurity sub-domain (1-7) requiring Al Ameen to identify and assess cybersecurity risks for critical technology suppliers and to extend this to reinsurance data exchange partners. Al Ameen shares cession and claims data with Munich Re and Swiss Re as part of its reinsurance programme. No supply chain cybersecurity risk assessment has been conducted for these partners, no software supply chain integrity controls exist for technology supplier software deployments, and no contractual cybersecurity obligations have been imposed on Munich Re or Swiss Re. The data exchanged with reinsurance partners includes policyholder PII and commercially sensitive claims data.</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Impact</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A cybersecurity compromise at Munich Re or Swiss Re that exposes data shared by Al Ameen could result in regulatory and reputational consequences for Al Ameen, with no contractual remedies in place. The absence of software supply chain integrity controls means Al Ameen cannot verify the integrity of software updates deployed from vendor suppliers including Oracle (Insurance) and Guidewire.</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Recommendation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Conduct a supply chain cybersecurity risk assessment for Munich Re and Swiss Re, reviewing data classification, transfer mechanisms, and counterparty cybersecurity posture. Engage legal counsel to include cybersecurity obligations in reinsurance treaty agreements or data processing addenda. Implement software supply chain integrity controls (code signing verification, software bill of materials) for critical application updates from Oracle and Guidewire. Target completion within Phase 3 (May–July 2025).</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Evidence Reviewed</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Munich Re and Swiss Re contracts reviewed — no cybersecurity provisions identified (CA-018: Not Started). ECC-2:2024 controls 1-7-1, 1-7-2, 1-7-3 assessed as Non-Conformant.</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Status</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New ECC-2:2024 Gap. No remediation initiated. Recommended for Phase 3 CAP.</w:t>
            </w:r>
          </w:p>
        </w:tc>
      </w:tr>
    </w:tbl>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40"/>
              <w:right w:type="dxa" w:w="80"/>
            </w:tcMar>
            <w:vAlign w:val="top"/>
          </w:tcPr>
          <w:p>
            <w:pPr>
              <w:spacing w:after="0" w:before="0"/>
              <w:jc w:val="left"/>
            </w:pPr>
            <w:r>
              <w:rPr>
                <w:rFonts w:ascii="Arial" w:cs="Arial" w:eastAsia="Arial" w:hAnsi="Arial"/>
                <w:b/>
                <w:bCs/>
                <w:i w:val="false"/>
                <w:iCs w:val="false"/>
                <w:color w:val="FFFFFF"/>
                <w:sz w:val="20"/>
                <w:szCs w:val="20"/>
              </w:rPr>
              <w:t xml:space="preserve">DG-004</w:t>
            </w:r>
          </w:p>
        </w:tc>
        <w:tc>
          <w:tcPr>
            <w:tcW w:type="dxa" w:w="8146"/>
            <w:tcBorders>
              <w:top w:val="single" w:color="CCCCCC" w:sz="1"/>
              <w:left w:val="single" w:color="CCCCCC" w:sz="1"/>
              <w:bottom w:val="single" w:color="CCCCCC" w:sz="1"/>
              <w:right w:val="single" w:color="CCCCCC" w:sz="1"/>
            </w:tcBorders>
            <w:shd w:fill="EEF1F7" w:val="clear"/>
            <w:tcMar>
              <w:top w:type="dxa" w:w="100"/>
              <w:left w:type="dxa" w:w="140"/>
              <w:bottom w:type="dxa" w:w="40"/>
              <w:right w:type="dxa" w:w="120"/>
            </w:tcMar>
            <w:vAlign w:val="top"/>
          </w:tcPr>
          <w:p>
            <w:pPr>
              <w:spacing w:after="0" w:before="0"/>
              <w:jc w:val="left"/>
            </w:pPr>
            <w:r>
              <w:rPr>
                <w:rFonts w:ascii="Arial" w:cs="Arial" w:eastAsia="Arial" w:hAnsi="Arial"/>
                <w:b/>
                <w:bCs/>
                <w:i w:val="false"/>
                <w:iCs w:val="false"/>
                <w:color w:val="1B2A4A"/>
                <w:sz w:val="20"/>
                <w:szCs w:val="20"/>
              </w:rPr>
              <w:t xml:space="preserve">No Threat Intelligence Capability</w:t>
            </w:r>
          </w:p>
        </w:tc>
      </w:tr>
      <w:tr>
        <w:tc>
          <w:tcPr>
            <w:tcW w:type="dxa" w:w="1600"/>
            <w:tcBorders>
              <w:top w:val="single" w:color="CCCCCC" w:sz="1"/>
              <w:left w:val="single" w:color="CCCCCC" w:sz="1"/>
              <w:bottom w:val="single" w:color="CCCCCC" w:sz="1"/>
              <w:right w:val="single" w:color="CCCCCC" w:sz="1"/>
            </w:tcBorders>
            <w:shd w:fill="1B2A4A" w:val="clear"/>
            <w:tcMar>
              <w:top w:type="dxa" w:w="40"/>
              <w:left w:type="dxa" w:w="140"/>
              <w:bottom w:type="dxa" w:w="100"/>
              <w:right w:type="dxa" w:w="80"/>
            </w:tcMar>
            <w:vAlign w:val="top"/>
          </w:tcPr>
          <w:p>
            <w:pPr>
              <w:spacing w:after="0" w:before="0"/>
              <w:jc w:val="left"/>
            </w:pPr>
            <w:r>
              <w:rPr>
                <w:rFonts w:ascii="Arial" w:cs="Arial" w:eastAsia="Arial" w:hAnsi="Arial"/>
                <w:b w:val="false"/>
                <w:bCs w:val="false"/>
                <w:i/>
                <w:iCs/>
                <w:color w:val="666666"/>
                <w:sz w:val="17"/>
                <w:szCs w:val="17"/>
              </w:rPr>
              <w:t xml:space="preserve">Severity</w:t>
            </w:r>
          </w:p>
        </w:tc>
        <w:tc>
          <w:tcPr>
            <w:tcW w:type="dxa" w:w="8146"/>
            <w:tcBorders>
              <w:top w:val="single" w:color="CCCCCC" w:sz="1"/>
              <w:left w:val="single" w:color="CCCCCC" w:sz="1"/>
              <w:bottom w:val="single" w:color="CCCCCC" w:sz="1"/>
              <w:right w:val="single" w:color="CCCCCC" w:sz="1"/>
            </w:tcBorders>
            <w:shd w:fill="FFF9C4" w:val="clear"/>
            <w:tcMar>
              <w:top w:type="dxa" w:w="40"/>
              <w:left w:type="dxa" w:w="140"/>
              <w:bottom w:type="dxa" w:w="100"/>
              <w:right w:type="dxa" w:w="120"/>
            </w:tcMar>
            <w:vAlign w:val="top"/>
          </w:tcPr>
          <w:p>
            <w:pPr>
              <w:spacing w:after="0" w:before="0"/>
              <w:jc w:val="left"/>
            </w:pPr>
            <w:r>
              <w:rPr>
                <w:rFonts w:ascii="Arial" w:cs="Arial" w:eastAsia="Arial" w:hAnsi="Arial"/>
                <w:b/>
                <w:bCs/>
                <w:i w:val="false"/>
                <w:iCs w:val="false"/>
                <w:color w:val="B45309"/>
                <w:sz w:val="18"/>
                <w:szCs w:val="18"/>
              </w:rPr>
              <w:t xml:space="preserve">High</w:t>
            </w:r>
            <w:r>
              <w:rPr>
                <w:rFonts w:ascii="Arial" w:cs="Arial" w:eastAsia="Arial" w:hAnsi="Arial"/>
                <w:b w:val="false"/>
                <w:bCs w:val="false"/>
                <w:i w:val="false"/>
                <w:iCs w:val="false"/>
                <w:color w:val="666666"/>
                <w:sz w:val="17"/>
                <w:szCs w:val="17"/>
              </w:rPr>
              <w:t xml:space="preserve">   |   Domain: Cybersecurity Resilience — Domain 3   |   Controls: ECC-2:2024: 3-4-1, 3-4-2</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Observation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ECC-2:2024 introduces a threat intelligence sub-domain (3-4) requiring Al Ameen to establish a capability to consume and act upon NCA threat intelligence feeds and sector-specific threat information relevant to the Saudi insurance sector, and to integrate threat intelligence findings into the vulnerability management and risk assessment processes. Al Ameen has no threat intelligence function, does not subscribe to NCA threat intelligence feeds, and has no process to act on sector-specific threat advisories.</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Impact</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Without threat intelligence, Al Ameen's cybersecurity programme operates reactively. Emerging threats relevant to the Saudi insurance sector — including ransomware targeting insurance policy administration systems and business email compromise targeting financial transfers — cannot be incorporated into preventive controls or risk assessments in a timely manner.</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Recommendation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Subscribe to NCA's cybersecurity threat intelligence feeds and SAMA's financial sector threat advisories. Assign responsibility for consuming and acting on threat intelligence to the IT Security Manager. Integrate threat intelligence findings into the quarterly vulnerability management review and the annual risk assessment cycle. Target within Phase 3 (May–July 2025).</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Evidence Reviewed</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evidence of threat intelligence capability found. ECC-2:2024 controls 3-4-1 and 3-4-2 assessed as Non-Conformant.</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Status</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New ECC-2:2024 Gap. No remediation initiated.</w:t>
            </w:r>
          </w:p>
        </w:tc>
      </w:tr>
    </w:tbl>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40"/>
              <w:right w:type="dxa" w:w="80"/>
            </w:tcMar>
            <w:vAlign w:val="top"/>
          </w:tcPr>
          <w:p>
            <w:pPr>
              <w:spacing w:after="0" w:before="0"/>
              <w:jc w:val="left"/>
            </w:pPr>
            <w:r>
              <w:rPr>
                <w:rFonts w:ascii="Arial" w:cs="Arial" w:eastAsia="Arial" w:hAnsi="Arial"/>
                <w:b/>
                <w:bCs/>
                <w:i w:val="false"/>
                <w:iCs w:val="false"/>
                <w:color w:val="FFFFFF"/>
                <w:sz w:val="20"/>
                <w:szCs w:val="20"/>
              </w:rPr>
              <w:t xml:space="preserve">DG-005</w:t>
            </w:r>
          </w:p>
        </w:tc>
        <w:tc>
          <w:tcPr>
            <w:tcW w:type="dxa" w:w="8146"/>
            <w:tcBorders>
              <w:top w:val="single" w:color="CCCCCC" w:sz="1"/>
              <w:left w:val="single" w:color="CCCCCC" w:sz="1"/>
              <w:bottom w:val="single" w:color="CCCCCC" w:sz="1"/>
              <w:right w:val="single" w:color="CCCCCC" w:sz="1"/>
            </w:tcBorders>
            <w:shd w:fill="EEF1F7" w:val="clear"/>
            <w:tcMar>
              <w:top w:type="dxa" w:w="100"/>
              <w:left w:type="dxa" w:w="140"/>
              <w:bottom w:type="dxa" w:w="40"/>
              <w:right w:type="dxa" w:w="120"/>
            </w:tcMar>
            <w:vAlign w:val="top"/>
          </w:tcPr>
          <w:p>
            <w:pPr>
              <w:spacing w:after="0" w:before="0"/>
              <w:jc w:val="left"/>
            </w:pPr>
            <w:r>
              <w:rPr>
                <w:rFonts w:ascii="Arial" w:cs="Arial" w:eastAsia="Arial" w:hAnsi="Arial"/>
                <w:b/>
                <w:bCs/>
                <w:i w:val="false"/>
                <w:iCs w:val="false"/>
                <w:color w:val="1B2A4A"/>
                <w:sz w:val="20"/>
                <w:szCs w:val="20"/>
              </w:rPr>
              <w:t xml:space="preserve">No Quantum-Readiness Roadmap</w:t>
            </w:r>
          </w:p>
        </w:tc>
      </w:tr>
      <w:tr>
        <w:tc>
          <w:tcPr>
            <w:tcW w:type="dxa" w:w="1600"/>
            <w:tcBorders>
              <w:top w:val="single" w:color="CCCCCC" w:sz="1"/>
              <w:left w:val="single" w:color="CCCCCC" w:sz="1"/>
              <w:bottom w:val="single" w:color="CCCCCC" w:sz="1"/>
              <w:right w:val="single" w:color="CCCCCC" w:sz="1"/>
            </w:tcBorders>
            <w:shd w:fill="1B2A4A" w:val="clear"/>
            <w:tcMar>
              <w:top w:type="dxa" w:w="40"/>
              <w:left w:type="dxa" w:w="140"/>
              <w:bottom w:type="dxa" w:w="100"/>
              <w:right w:type="dxa" w:w="80"/>
            </w:tcMar>
            <w:vAlign w:val="top"/>
          </w:tcPr>
          <w:p>
            <w:pPr>
              <w:spacing w:after="0" w:before="0"/>
              <w:jc w:val="left"/>
            </w:pPr>
            <w:r>
              <w:rPr>
                <w:rFonts w:ascii="Arial" w:cs="Arial" w:eastAsia="Arial" w:hAnsi="Arial"/>
                <w:b w:val="false"/>
                <w:bCs w:val="false"/>
                <w:i/>
                <w:iCs/>
                <w:color w:val="666666"/>
                <w:sz w:val="17"/>
                <w:szCs w:val="17"/>
              </w:rPr>
              <w:t xml:space="preserve">Severity</w:t>
            </w:r>
          </w:p>
        </w:tc>
        <w:tc>
          <w:tcPr>
            <w:tcW w:type="dxa" w:w="8146"/>
            <w:tcBorders>
              <w:top w:val="single" w:color="CCCCCC" w:sz="1"/>
              <w:left w:val="single" w:color="CCCCCC" w:sz="1"/>
              <w:bottom w:val="single" w:color="CCCCCC" w:sz="1"/>
              <w:right w:val="single" w:color="CCCCCC" w:sz="1"/>
            </w:tcBorders>
            <w:shd w:fill="FFF9C4" w:val="clear"/>
            <w:tcMar>
              <w:top w:type="dxa" w:w="40"/>
              <w:left w:type="dxa" w:w="140"/>
              <w:bottom w:type="dxa" w:w="100"/>
              <w:right w:type="dxa" w:w="120"/>
            </w:tcMar>
            <w:vAlign w:val="top"/>
          </w:tcPr>
          <w:p>
            <w:pPr>
              <w:spacing w:after="0" w:before="0"/>
              <w:jc w:val="left"/>
            </w:pPr>
            <w:r>
              <w:rPr>
                <w:rFonts w:ascii="Arial" w:cs="Arial" w:eastAsia="Arial" w:hAnsi="Arial"/>
                <w:b/>
                <w:bCs/>
                <w:i w:val="false"/>
                <w:iCs w:val="false"/>
                <w:color w:val="B45309"/>
                <w:sz w:val="18"/>
                <w:szCs w:val="18"/>
              </w:rPr>
              <w:t xml:space="preserve">High</w:t>
            </w:r>
            <w:r>
              <w:rPr>
                <w:rFonts w:ascii="Arial" w:cs="Arial" w:eastAsia="Arial" w:hAnsi="Arial"/>
                <w:b w:val="false"/>
                <w:bCs w:val="false"/>
                <w:i w:val="false"/>
                <w:iCs w:val="false"/>
                <w:color w:val="666666"/>
                <w:sz w:val="17"/>
                <w:szCs w:val="17"/>
              </w:rPr>
              <w:t xml:space="preserve">   |   Domain: Cybersecurity Governance — Domain 1   |   Controls: ECC-2:2024: 1-6-3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Observation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ECC-2:2024 requires organisations to develop a quantum-readiness roadmap planning the migration from cryptographic algorithms that are vulnerable to quantum computing attacks (primarily RSA, ECC-based algorithms, and symmetric keys below 256-bit). Al Ameen has no cryptographic inventory (see DG-001) and therefore cannot assess its quantum exposure. No quantum-readiness assessment has been conducted and no roadmap exists. This finding is closely linked to DG-001 — the cryptographic inventory is a prerequisite for the quantum-readiness roadmap.</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Impact</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While practical quantum computing threats to current cryptographic algorithms are not expected in the near term, NCA's inclusion of quantum-readiness as a regulatory requirement signals that organisations are expected to begin planning migration now. Failure to develop a roadmap constitutes a regulatory gap and leaves Al Ameen without a documented position on this emerging risk area.</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Recommendation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This finding should be addressed as part of the DG-001 remediation programme. Once the cryptographic inventory is complete, commission a quantum-readiness gap assessment to identify which algorithms and key lengths are most exposed. Develop a phased migration roadmap aligned to NCA guidance, targeting post-quantum cryptographic standards (NIST PQC standards or equivalent) for critical system encryption. Target roadmap completion within 6 months of cryptographic inventory.</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Evidence Reviewed</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evidence of quantum-readiness assessment or roadmap. ECC-2:2024 control 1-6-3 assessed as Non-Conformant. No remediation initiated (linked to DG-001).</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Status</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New ECC-2:2024 Gap. Dependent on DG-001 (cryptographic inventory) completion.</w:t>
            </w:r>
          </w:p>
        </w:tc>
      </w:tr>
    </w:tbl>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5.2  Retained Findings</w:t>
      </w:r>
    </w:p>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40"/>
              <w:right w:type="dxa" w:w="80"/>
            </w:tcMar>
            <w:vAlign w:val="top"/>
          </w:tcPr>
          <w:p>
            <w:pPr>
              <w:spacing w:after="0" w:before="0"/>
              <w:jc w:val="left"/>
            </w:pPr>
            <w:r>
              <w:rPr>
                <w:rFonts w:ascii="Arial" w:cs="Arial" w:eastAsia="Arial" w:hAnsi="Arial"/>
                <w:b/>
                <w:bCs/>
                <w:i w:val="false"/>
                <w:iCs w:val="false"/>
                <w:color w:val="FFFFFF"/>
                <w:sz w:val="20"/>
                <w:szCs w:val="20"/>
              </w:rPr>
              <w:t xml:space="preserve">RF-001</w:t>
            </w:r>
          </w:p>
        </w:tc>
        <w:tc>
          <w:tcPr>
            <w:tcW w:type="dxa" w:w="8146"/>
            <w:tcBorders>
              <w:top w:val="single" w:color="CCCCCC" w:sz="1"/>
              <w:left w:val="single" w:color="CCCCCC" w:sz="1"/>
              <w:bottom w:val="single" w:color="CCCCCC" w:sz="1"/>
              <w:right w:val="single" w:color="CCCCCC" w:sz="1"/>
            </w:tcBorders>
            <w:shd w:fill="EEF1F7" w:val="clear"/>
            <w:tcMar>
              <w:top w:type="dxa" w:w="100"/>
              <w:left w:type="dxa" w:w="140"/>
              <w:bottom w:type="dxa" w:w="40"/>
              <w:right w:type="dxa" w:w="120"/>
            </w:tcMar>
            <w:vAlign w:val="top"/>
          </w:tcPr>
          <w:p>
            <w:pPr>
              <w:spacing w:after="0" w:before="0"/>
              <w:jc w:val="left"/>
            </w:pPr>
            <w:r>
              <w:rPr>
                <w:rFonts w:ascii="Arial" w:cs="Arial" w:eastAsia="Arial" w:hAnsi="Arial"/>
                <w:b/>
                <w:bCs/>
                <w:i w:val="false"/>
                <w:iCs w:val="false"/>
                <w:color w:val="1B2A4A"/>
                <w:sz w:val="20"/>
                <w:szCs w:val="20"/>
              </w:rPr>
              <w:t xml:space="preserve">Incident Response Plan Absent</w:t>
            </w:r>
          </w:p>
        </w:tc>
      </w:tr>
      <w:tr>
        <w:tc>
          <w:tcPr>
            <w:tcW w:type="dxa" w:w="1600"/>
            <w:tcBorders>
              <w:top w:val="single" w:color="CCCCCC" w:sz="1"/>
              <w:left w:val="single" w:color="CCCCCC" w:sz="1"/>
              <w:bottom w:val="single" w:color="CCCCCC" w:sz="1"/>
              <w:right w:val="single" w:color="CCCCCC" w:sz="1"/>
            </w:tcBorders>
            <w:shd w:fill="1B2A4A" w:val="clear"/>
            <w:tcMar>
              <w:top w:type="dxa" w:w="40"/>
              <w:left w:type="dxa" w:w="140"/>
              <w:bottom w:type="dxa" w:w="100"/>
              <w:right w:type="dxa" w:w="80"/>
            </w:tcMar>
            <w:vAlign w:val="top"/>
          </w:tcPr>
          <w:p>
            <w:pPr>
              <w:spacing w:after="0" w:before="0"/>
              <w:jc w:val="left"/>
            </w:pPr>
            <w:r>
              <w:rPr>
                <w:rFonts w:ascii="Arial" w:cs="Arial" w:eastAsia="Arial" w:hAnsi="Arial"/>
                <w:b w:val="false"/>
                <w:bCs w:val="false"/>
                <w:i/>
                <w:iCs/>
                <w:color w:val="666666"/>
                <w:sz w:val="17"/>
                <w:szCs w:val="17"/>
              </w:rPr>
              <w:t xml:space="preserve">Severity</w:t>
            </w:r>
          </w:p>
        </w:tc>
        <w:tc>
          <w:tcPr>
            <w:tcW w:type="dxa" w:w="8146"/>
            <w:tcBorders>
              <w:top w:val="single" w:color="CCCCCC" w:sz="1"/>
              <w:left w:val="single" w:color="CCCCCC" w:sz="1"/>
              <w:bottom w:val="single" w:color="CCCCCC" w:sz="1"/>
              <w:right w:val="single" w:color="CCCCCC" w:sz="1"/>
            </w:tcBorders>
            <w:shd w:fill="FFCDD2" w:val="clear"/>
            <w:tcMar>
              <w:top w:type="dxa" w:w="40"/>
              <w:left w:type="dxa" w:w="140"/>
              <w:bottom w:type="dxa" w:w="100"/>
              <w:right w:type="dxa" w:w="120"/>
            </w:tcMar>
            <w:vAlign w:val="top"/>
          </w:tcPr>
          <w:p>
            <w:pPr>
              <w:spacing w:after="0" w:before="0"/>
              <w:jc w:val="left"/>
            </w:pPr>
            <w:r>
              <w:rPr>
                <w:rFonts w:ascii="Arial" w:cs="Arial" w:eastAsia="Arial" w:hAnsi="Arial"/>
                <w:b/>
                <w:bCs/>
                <w:i w:val="false"/>
                <w:iCs w:val="false"/>
                <w:color w:val="8B1A1A"/>
                <w:sz w:val="18"/>
                <w:szCs w:val="18"/>
              </w:rPr>
              <w:t xml:space="preserve">Critical</w:t>
            </w:r>
            <w:r>
              <w:rPr>
                <w:rFonts w:ascii="Arial" w:cs="Arial" w:eastAsia="Arial" w:hAnsi="Arial"/>
                <w:b w:val="false"/>
                <w:bCs w:val="false"/>
                <w:i w:val="false"/>
                <w:iCs w:val="false"/>
                <w:color w:val="666666"/>
                <w:sz w:val="17"/>
                <w:szCs w:val="17"/>
              </w:rPr>
              <w:t xml:space="preserve">   |   Domain: Cybersecurity Resilience — Domain 3   |   Controls: ECC-2:2024: 3-1-1, 3-1-2, 3-1-3, 3-1-4, 3-1-5, 3-1-6</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Observation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Al Ameen has no documented cybersecurity incident response plan (IRP). This finding was identified as Critical in the Project 3 audit (F-009) and has not been remediated. CAP action CA-014 (Draft IRP) is listed as Not Started as at 03 February 2025. There is no defined incident classification or severity criteria, no designated incident response team, no documented escalation paths, and no process for regulatory notification to NCA or SAMA within the timeframes specified by applicable regulations. Al Ameen has also not conducted any incident response tabletop exercises.</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Impact</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In the absence of an IRP, Al Ameen has no structured process to detect, contain, or recover from a cybersecurity incident. In the event of a breach affecting policyholders or regulatory systems (Najm, Shafafiyah), Al Ameen would be unable to demonstrate to SAMA that appropriate incident management procedures were followed. Regulatory notification obligations to NCA and SAMA could be missed, compounding regulatory exposure. A breach of Oracle Insurance's policyholder database without a functioning IRP could result in extended data exposure and operational disruption.</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Recommendation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Develop a cybersecurity IRP as a priority Phase 2 action (CA-014, CA-021). The IRP must include: incident classification and severity criteria; designated incident response team with 24/7 contact details; escalation procedures to the IT Security Manager, Board, and external stakeholders; NCA and SAMA notification procedures and timelines; containment and recovery playbooks for priority scenarios (ransomware, data breach, system compromise); and a post-incident review process. Conduct a tabletop exercise within 30 days of IRP approval.</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Evidence Reviewed</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IRP documentation found. CA-014 (Draft IRP) status: Not Started. CA-021 (IRP tabletop exercise) status: Not Started. ECC-2:2024 controls 3-1-1 through 3-1-6 assessed as Non-Conformant.</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Status</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Retained from Project 3 (F-009). No remediation progress. Critical priority for Phase 2.</w:t>
            </w:r>
          </w:p>
        </w:tc>
      </w:tr>
    </w:tbl>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40"/>
              <w:right w:type="dxa" w:w="80"/>
            </w:tcMar>
            <w:vAlign w:val="top"/>
          </w:tcPr>
          <w:p>
            <w:pPr>
              <w:spacing w:after="0" w:before="0"/>
              <w:jc w:val="left"/>
            </w:pPr>
            <w:r>
              <w:rPr>
                <w:rFonts w:ascii="Arial" w:cs="Arial" w:eastAsia="Arial" w:hAnsi="Arial"/>
                <w:b/>
                <w:bCs/>
                <w:i w:val="false"/>
                <w:iCs w:val="false"/>
                <w:color w:val="FFFFFF"/>
                <w:sz w:val="20"/>
                <w:szCs w:val="20"/>
              </w:rPr>
              <w:t xml:space="preserve">RF-002</w:t>
            </w:r>
          </w:p>
        </w:tc>
        <w:tc>
          <w:tcPr>
            <w:tcW w:type="dxa" w:w="8146"/>
            <w:tcBorders>
              <w:top w:val="single" w:color="CCCCCC" w:sz="1"/>
              <w:left w:val="single" w:color="CCCCCC" w:sz="1"/>
              <w:bottom w:val="single" w:color="CCCCCC" w:sz="1"/>
              <w:right w:val="single" w:color="CCCCCC" w:sz="1"/>
            </w:tcBorders>
            <w:shd w:fill="EEF1F7" w:val="clear"/>
            <w:tcMar>
              <w:top w:type="dxa" w:w="100"/>
              <w:left w:type="dxa" w:w="140"/>
              <w:bottom w:type="dxa" w:w="40"/>
              <w:right w:type="dxa" w:w="120"/>
            </w:tcMar>
            <w:vAlign w:val="top"/>
          </w:tcPr>
          <w:p>
            <w:pPr>
              <w:spacing w:after="0" w:before="0"/>
              <w:jc w:val="left"/>
            </w:pPr>
            <w:r>
              <w:rPr>
                <w:rFonts w:ascii="Arial" w:cs="Arial" w:eastAsia="Arial" w:hAnsi="Arial"/>
                <w:b/>
                <w:bCs/>
                <w:i w:val="false"/>
                <w:iCs w:val="false"/>
                <w:color w:val="1B2A4A"/>
                <w:sz w:val="20"/>
                <w:szCs w:val="20"/>
              </w:rPr>
              <w:t xml:space="preserve">No Business Continuity or Disaster Recovery Capability</w:t>
            </w:r>
          </w:p>
        </w:tc>
      </w:tr>
      <w:tr>
        <w:tc>
          <w:tcPr>
            <w:tcW w:type="dxa" w:w="1600"/>
            <w:tcBorders>
              <w:top w:val="single" w:color="CCCCCC" w:sz="1"/>
              <w:left w:val="single" w:color="CCCCCC" w:sz="1"/>
              <w:bottom w:val="single" w:color="CCCCCC" w:sz="1"/>
              <w:right w:val="single" w:color="CCCCCC" w:sz="1"/>
            </w:tcBorders>
            <w:shd w:fill="1B2A4A" w:val="clear"/>
            <w:tcMar>
              <w:top w:type="dxa" w:w="40"/>
              <w:left w:type="dxa" w:w="140"/>
              <w:bottom w:type="dxa" w:w="100"/>
              <w:right w:type="dxa" w:w="80"/>
            </w:tcMar>
            <w:vAlign w:val="top"/>
          </w:tcPr>
          <w:p>
            <w:pPr>
              <w:spacing w:after="0" w:before="0"/>
              <w:jc w:val="left"/>
            </w:pPr>
            <w:r>
              <w:rPr>
                <w:rFonts w:ascii="Arial" w:cs="Arial" w:eastAsia="Arial" w:hAnsi="Arial"/>
                <w:b w:val="false"/>
                <w:bCs w:val="false"/>
                <w:i/>
                <w:iCs/>
                <w:color w:val="666666"/>
                <w:sz w:val="17"/>
                <w:szCs w:val="17"/>
              </w:rPr>
              <w:t xml:space="preserve">Severity</w:t>
            </w:r>
          </w:p>
        </w:tc>
        <w:tc>
          <w:tcPr>
            <w:tcW w:type="dxa" w:w="8146"/>
            <w:tcBorders>
              <w:top w:val="single" w:color="CCCCCC" w:sz="1"/>
              <w:left w:val="single" w:color="CCCCCC" w:sz="1"/>
              <w:bottom w:val="single" w:color="CCCCCC" w:sz="1"/>
              <w:right w:val="single" w:color="CCCCCC" w:sz="1"/>
            </w:tcBorders>
            <w:shd w:fill="FFCDD2" w:val="clear"/>
            <w:tcMar>
              <w:top w:type="dxa" w:w="40"/>
              <w:left w:type="dxa" w:w="140"/>
              <w:bottom w:type="dxa" w:w="100"/>
              <w:right w:type="dxa" w:w="120"/>
            </w:tcMar>
            <w:vAlign w:val="top"/>
          </w:tcPr>
          <w:p>
            <w:pPr>
              <w:spacing w:after="0" w:before="0"/>
              <w:jc w:val="left"/>
            </w:pPr>
            <w:r>
              <w:rPr>
                <w:rFonts w:ascii="Arial" w:cs="Arial" w:eastAsia="Arial" w:hAnsi="Arial"/>
                <w:b/>
                <w:bCs/>
                <w:i w:val="false"/>
                <w:iCs w:val="false"/>
                <w:color w:val="8B1A1A"/>
                <w:sz w:val="18"/>
                <w:szCs w:val="18"/>
              </w:rPr>
              <w:t xml:space="preserve">Critical</w:t>
            </w:r>
            <w:r>
              <w:rPr>
                <w:rFonts w:ascii="Arial" w:cs="Arial" w:eastAsia="Arial" w:hAnsi="Arial"/>
                <w:b w:val="false"/>
                <w:bCs w:val="false"/>
                <w:i w:val="false"/>
                <w:iCs w:val="false"/>
                <w:color w:val="666666"/>
                <w:sz w:val="17"/>
                <w:szCs w:val="17"/>
              </w:rPr>
              <w:t xml:space="preserve">   |   Domain: Cybersecurity Resilience — Domain 3   |   Controls: ECC-2:2024: 3-2-1, 3-2-2, 3-2-3, 3-2-4, 3-2-5</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Observation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Al Ameen has no documented Business Continuity Plan (BCP) or Disaster Recovery Plan (DRP). This finding was identified as Critical in the Project 3 audit (F-005) and remains entirely unaddressed. No recovery time objectives (RTO) or recovery point objectives (RPO) have been defined for Oracle Insurance or Guidewire. Backup processes are in place but backup integrity testing has not been conducted, and there is no off-site or cloud backup facility — all backups are on-site tape only. CAP actions CA-019 and CA-029 (BCP/DRP development and testing) are Phase 3 and 4 actions respectively and have not been initiated.</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Impact</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An unplanned outage of Oracle Insurance or Guidewire without a tested DRP could result in extended service disruption affecting motor and medical insurance operations across all three branches (Riyadh, Jeddah, Dammam). The absence of off-site backups means that a physical disaster or ransomware attack affecting the Riyadh data centre could result in permanent data loss. SAMA expects regulated entities to maintain tested business continuity capabilities; the absence of a BCP/DRP leaves Al Ameen unable to demonstrate regulatory compliance in this area.</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Recommendation</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Define RTO and RPO targets for Oracle Insurance (target: RTO 4 hours, RPO 1 hour) and Guidewire (target: RTO 8 hours, RPO 4 hours) as an immediate Phase 2 action. Implement off-site backup capability (cloud or secondary facility) for all critical systems as a Phase 2 priority. Develop BCP and DRP documentation as Phase 3 actions (CA-019, CA-029). Conduct a tabletop exercise and partial DRP test within 60 days of DRP approval.</w:t>
            </w:r>
          </w:p>
        </w:tc>
      </w:tr>
      <w:tr>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Evidence Reviewed</w:t>
            </w:r>
          </w:p>
        </w:tc>
        <w:tc>
          <w:tcPr>
            <w:tcW w:type="dxa" w:w="7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 BCP or DRP documentation found. CA-019 and CA-029 status: Not Started. On-site tape backup only confirmed — no off-site backup. Backup integrity testing not conducted. ECC-2:2024 controls 3-2-1 through 3-2-5 assessed as Non-Conformant or Partial.</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Status</w:t>
            </w:r>
          </w:p>
        </w:tc>
        <w:tc>
          <w:tcPr>
            <w:tcW w:type="dxa" w:w="7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Non-Conformant — Retained from Project 3 (F-005). No remediation progress. Critical priority for Phase 3.</w:t>
            </w:r>
          </w:p>
        </w:tc>
      </w:tr>
    </w:tbl>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6</w:t>
            </w:r>
          </w:p>
        </w:tc>
        <w:tc>
          <w:tcPr>
            <w:tcW w:type="dxa" w:w="9146"/>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Updated Conformance Summary</w:t>
            </w:r>
          </w:p>
        </w:tc>
      </w:tr>
    </w:tbl>
    <w:p>
      <w:pPr>
        <w:spacing w:after="160" w:before="0"/>
      </w:pPr>
      <w:r>
        <w:t xml:space="preserve"> </w:t>
      </w:r>
    </w:p>
    <w:p>
      <w:pPr>
        <w:spacing w:after="120" w:before="0"/>
        <w:jc w:val="left"/>
      </w:pPr>
      <w:r>
        <w:rPr>
          <w:rFonts w:ascii="Arial" w:cs="Arial" w:eastAsia="Arial" w:hAnsi="Arial"/>
          <w:b w:val="false"/>
          <w:bCs w:val="false"/>
          <w:i w:val="false"/>
          <w:iCs w:val="false"/>
          <w:color w:val="1A1A1A"/>
          <w:sz w:val="19"/>
          <w:szCs w:val="19"/>
        </w:rPr>
        <w:t xml:space="preserve">The following table presents the final ECC-2:2024 conformance summary for Al Ameen Insurance Company as at March 2025: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2146"/>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Conformance Category</w:t>
            </w:r>
          </w:p>
        </w:tc>
        <w:tc>
          <w:tcPr>
            <w:tcW w:type="dxa" w:w="14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Oct 2024 (ECC-1)</w:t>
            </w:r>
          </w:p>
        </w:tc>
        <w:tc>
          <w:tcPr>
            <w:tcW w:type="dxa" w:w="14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Mar 2025 (ECC-2)</w:t>
            </w:r>
          </w:p>
        </w:tc>
        <w:tc>
          <w:tcPr>
            <w:tcW w:type="dxa" w:w="14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spacing w:after="0" w:before="0"/>
              <w:jc w:val="left"/>
            </w:pPr>
            <w:r>
              <w:rPr>
                <w:rFonts w:ascii="Arial" w:cs="Arial" w:eastAsia="Arial" w:hAnsi="Arial"/>
                <w:b/>
                <w:bCs/>
                <w:i w:val="false"/>
                <w:iCs w:val="false"/>
                <w:color w:val="FFFFFF"/>
                <w:sz w:val="18"/>
                <w:szCs w:val="18"/>
              </w:rPr>
              <w:t xml:space="preserve">Change</w:t>
            </w:r>
          </w:p>
        </w:tc>
        <w:tc>
          <w:tcPr>
            <w:tcW w:type="dxa" w:w="214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Notes</w:t>
            </w:r>
          </w:p>
        </w:tc>
      </w:tr>
      <w:tr>
        <w:tc>
          <w:tcPr>
            <w:tcW w:type="dxa" w:w="3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Total Controls in Framework</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114</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108</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-6</w:t>
            </w:r>
          </w:p>
        </w:tc>
        <w:tc>
          <w:tcPr>
            <w:tcW w:type="dxa" w:w="21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ECC-2:2024 consolidates some ECC-1 controls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Conformant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33 (29%)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42 (39%)</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+9</w:t>
            </w:r>
          </w:p>
        </w:tc>
        <w:tc>
          <w:tcPr>
            <w:tcW w:type="dxa" w:w="214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Phase 1 remediation effective on IAM and governance</w:t>
            </w:r>
          </w:p>
        </w:tc>
      </w:tr>
      <w:tr>
        <w:tc>
          <w:tcPr>
            <w:tcW w:type="dxa" w:w="3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Partial</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48 (42%)</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44 (41%)</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-4</w:t>
            </w:r>
          </w:p>
        </w:tc>
        <w:tc>
          <w:tcPr>
            <w:tcW w:type="dxa" w:w="21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Some Partial controls elevated to Conformant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Non-Conformant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33 (29%)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22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-11</w:t>
            </w:r>
          </w:p>
        </w:tc>
        <w:tc>
          <w:tcPr>
            <w:tcW w:type="dxa" w:w="214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Net improvement; new ECC-2 gaps partially offset</w:t>
            </w:r>
          </w:p>
        </w:tc>
      </w:tr>
      <w:tr>
        <w:tc>
          <w:tcPr>
            <w:tcW w:type="dxa" w:w="3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N/A</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0</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4 (4%)</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+4</w:t>
            </w:r>
          </w:p>
        </w:tc>
        <w:tc>
          <w:tcPr>
            <w:tcW w:type="dxa" w:w="21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ICS/OT domain not applicable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New Delta Gaps (ECC-2:2024)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B2A4A"/>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+10</w:t>
            </w:r>
          </w:p>
        </w:tc>
        <w:tc>
          <w:tcPr>
            <w:tcW w:type="dxa" w:w="214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Cryptographic governance, supply chain, threat intel</w:t>
            </w:r>
          </w:p>
        </w:tc>
      </w:tr>
      <w:tr>
        <w:tc>
          <w:tcPr>
            <w:tcW w:type="dxa" w:w="3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Overall Conformance</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29.0%</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39.0%</w:t>
            </w:r>
          </w:p>
        </w:tc>
        <w:tc>
          <w:tcPr>
            <w:tcW w:type="dxa" w:w="14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E6B3C"/>
                <w:sz w:val="18"/>
                <w:szCs w:val="18"/>
              </w:rPr>
              <w:t xml:space="preserve">+10pp</w:t>
            </w:r>
          </w:p>
        </w:tc>
        <w:tc>
          <w:tcPr>
            <w:tcW w:type="dxa" w:w="21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Target: 60% by October 2025 (CA-030)</w:t>
            </w:r>
          </w:p>
        </w:tc>
      </w:tr>
    </w:tbl>
    <w:p>
      <w:pPr>
        <w:spacing w:after="200" w:before="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CCCCCC" w:sz="1"/>
              <w:left w:val="single" w:color="CCCCCC" w:sz="1"/>
              <w:bottom w:val="single" w:color="CCCCCC" w:sz="1"/>
              <w:right w:val="single" w:color="CCCCCC" w:sz="1"/>
            </w:tcBorders>
            <w:shd w:fill="C8A95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2"/>
                <w:szCs w:val="22"/>
              </w:rPr>
              <w:t xml:space="preserve">7</w:t>
            </w:r>
          </w:p>
        </w:tc>
        <w:tc>
          <w:tcPr>
            <w:tcW w:type="dxa" w:w="9146"/>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20"/>
            </w:tcMar>
            <w:vAlign w:val="top"/>
          </w:tcPr>
          <w:p>
            <w:pPr>
              <w:spacing w:after="0" w:before="0"/>
              <w:jc w:val="left"/>
            </w:pPr>
            <w:r>
              <w:rPr>
                <w:rFonts w:ascii="Arial" w:cs="Arial" w:eastAsia="Arial" w:hAnsi="Arial"/>
                <w:b/>
                <w:bCs/>
                <w:i w:val="false"/>
                <w:iCs w:val="false"/>
                <w:color w:val="FFFFFF"/>
                <w:sz w:val="22"/>
                <w:szCs w:val="22"/>
              </w:rPr>
              <w:t xml:space="preserve">Recommendations and Next Steps</w:t>
            </w:r>
          </w:p>
        </w:tc>
      </w:tr>
    </w:tbl>
    <w:p>
      <w:pPr>
        <w:spacing w:after="160" w:before="0"/>
      </w:pPr>
      <w:r>
        <w:t xml:space="preserve"> </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7.1  Immediate Priorities (April–June 2025)</w:t>
      </w:r>
    </w:p>
    <w:p>
      <w:pPr>
        <w:spacing w:after="80" w:before="0"/>
        <w:jc w:val="left"/>
      </w:pPr>
      <w:r>
        <w:rPr>
          <w:rFonts w:ascii="Arial" w:cs="Arial" w:eastAsia="Arial" w:hAnsi="Arial"/>
          <w:b w:val="false"/>
          <w:bCs w:val="false"/>
          <w:i w:val="false"/>
          <w:iCs w:val="false"/>
          <w:color w:val="1A1A1A"/>
          <w:sz w:val="19"/>
          <w:szCs w:val="19"/>
        </w:rPr>
        <w:t xml:space="preserve">The following actions are recommended for immediate prioritisation:</w:t>
      </w:r>
    </w:p>
    <w:p>
      <w:pPr>
        <w:spacing w:after="40" w:before="0"/>
        <w:jc w:val="left"/>
      </w:pPr>
      <w:r>
        <w:rPr>
          <w:rFonts w:ascii="Arial" w:cs="Arial" w:eastAsia="Arial" w:hAnsi="Arial"/>
          <w:b/>
          <w:bCs/>
          <w:i w:val="false"/>
          <w:iCs w:val="false"/>
          <w:color w:val="1B2A4A"/>
          <w:sz w:val="19"/>
          <w:szCs w:val="19"/>
        </w:rPr>
        <w:t xml:space="preserve">Priority 1 — Incident Response Plan (RF-001):</w:t>
      </w:r>
    </w:p>
    <w:p>
      <w:pPr>
        <w:spacing w:after="100" w:before="0"/>
        <w:jc w:val="left"/>
      </w:pPr>
      <w:r>
        <w:rPr>
          <w:rFonts w:ascii="Arial" w:cs="Arial" w:eastAsia="Arial" w:hAnsi="Arial"/>
          <w:b w:val="false"/>
          <w:bCs w:val="false"/>
          <w:i w:val="false"/>
          <w:iCs w:val="false"/>
          <w:color w:val="1A1A1A"/>
          <w:sz w:val="19"/>
          <w:szCs w:val="19"/>
        </w:rPr>
        <w:t xml:space="preserve">Draft, approve, and test a cybersecurity IRP before any other Phase 2 action. This is the single most critical gap in the current control environment. Without an IRP, Al Ameen cannot respond effectively to a cybersecurity incident and cannot demonstrate regulatory compliance to SAMA. Target: IRP approved and tabletop exercise completed by 30 June 2025.</w:t>
      </w:r>
    </w:p>
    <w:p>
      <w:pPr>
        <w:spacing w:after="40" w:before="0"/>
        <w:jc w:val="left"/>
      </w:pPr>
      <w:r>
        <w:rPr>
          <w:rFonts w:ascii="Arial" w:cs="Arial" w:eastAsia="Arial" w:hAnsi="Arial"/>
          <w:b/>
          <w:bCs/>
          <w:i w:val="false"/>
          <w:iCs w:val="false"/>
          <w:color w:val="1B2A4A"/>
          <w:sz w:val="19"/>
          <w:szCs w:val="19"/>
        </w:rPr>
        <w:t xml:space="preserve">Priority 2 — Third-Party Contract Security Clauses (DG-002):</w:t>
      </w:r>
    </w:p>
    <w:p>
      <w:pPr>
        <w:spacing w:after="100" w:before="0"/>
        <w:jc w:val="left"/>
      </w:pPr>
      <w:r>
        <w:rPr>
          <w:rFonts w:ascii="Arial" w:cs="Arial" w:eastAsia="Arial" w:hAnsi="Arial"/>
          <w:b w:val="false"/>
          <w:bCs w:val="false"/>
          <w:i w:val="false"/>
          <w:iCs w:val="false"/>
          <w:color w:val="1A1A1A"/>
          <w:sz w:val="19"/>
          <w:szCs w:val="19"/>
        </w:rPr>
        <w:t xml:space="preserve">Execute cybersecurity addenda with Najm and Shafafiyah within 90 days. Legal drafting should commence immediately. This is a retained finding from Project 3 and a new ECC-2:2024 regulatory requirement — delay increases regulatory exposure.</w:t>
      </w:r>
    </w:p>
    <w:p>
      <w:pPr>
        <w:spacing w:after="40" w:before="0"/>
        <w:jc w:val="left"/>
      </w:pPr>
      <w:r>
        <w:rPr>
          <w:rFonts w:ascii="Arial" w:cs="Arial" w:eastAsia="Arial" w:hAnsi="Arial"/>
          <w:b/>
          <w:bCs/>
          <w:i w:val="false"/>
          <w:iCs w:val="false"/>
          <w:color w:val="1B2A4A"/>
          <w:sz w:val="19"/>
          <w:szCs w:val="19"/>
        </w:rPr>
        <w:t xml:space="preserve">Priority 3 — Cryptographic Controls (DG-001, DG-005):</w:t>
      </w:r>
    </w:p>
    <w:p>
      <w:pPr>
        <w:spacing w:after="100" w:before="0"/>
        <w:jc w:val="left"/>
      </w:pPr>
      <w:r>
        <w:rPr>
          <w:rFonts w:ascii="Arial" w:cs="Arial" w:eastAsia="Arial" w:hAnsi="Arial"/>
          <w:b w:val="false"/>
          <w:bCs w:val="false"/>
          <w:i w:val="false"/>
          <w:iCs w:val="false"/>
          <w:color w:val="1A1A1A"/>
          <w:sz w:val="19"/>
          <w:szCs w:val="19"/>
        </w:rPr>
        <w:t xml:space="preserve">Initiate a cryptographic asset discovery exercise across Oracle Insurance, Guidewire, and Azure workloads. Assign the IT Security Manager as programme owner. Target: cryptographic inventory complete by 31 May 2025; quantum-readiness roadmap by 31 July 2025.</w:t>
      </w:r>
    </w:p>
    <w:p>
      <w:pPr>
        <w:spacing w:after="40" w:before="0"/>
        <w:jc w:val="left"/>
      </w:pPr>
      <w:r>
        <w:rPr>
          <w:rFonts w:ascii="Arial" w:cs="Arial" w:eastAsia="Arial" w:hAnsi="Arial"/>
          <w:b/>
          <w:bCs/>
          <w:i w:val="false"/>
          <w:iCs w:val="false"/>
          <w:color w:val="1B2A4A"/>
          <w:sz w:val="19"/>
          <w:szCs w:val="19"/>
        </w:rPr>
        <w:t xml:space="preserve">Priority 4 — Vulnerability Management (CA-013):</w:t>
      </w:r>
    </w:p>
    <w:p>
      <w:pPr>
        <w:spacing w:after="100" w:before="0"/>
        <w:jc w:val="left"/>
      </w:pPr>
      <w:r>
        <w:rPr>
          <w:rFonts w:ascii="Arial" w:cs="Arial" w:eastAsia="Arial" w:hAnsi="Arial"/>
          <w:b w:val="false"/>
          <w:bCs w:val="false"/>
          <w:i w:val="false"/>
          <w:iCs w:val="false"/>
          <w:color w:val="1A1A1A"/>
          <w:sz w:val="19"/>
          <w:szCs w:val="19"/>
        </w:rPr>
        <w:t xml:space="preserve">Complete the Tenable.io procurement and conduct the first vulnerability scan of internet-facing systems within 30 days of tool deployment. Establish the SLA (Critical: 15 days, High: 30 days) and integrate with the change management process.</w:t>
      </w:r>
    </w:p>
    <w:p>
      <w:pPr>
        <w:spacing w:after="40" w:before="0"/>
        <w:jc w:val="left"/>
      </w:pPr>
      <w:r>
        <w:rPr>
          <w:rFonts w:ascii="Arial" w:cs="Arial" w:eastAsia="Arial" w:hAnsi="Arial"/>
          <w:b/>
          <w:bCs/>
          <w:i w:val="false"/>
          <w:iCs w:val="false"/>
          <w:color w:val="1B2A4A"/>
          <w:sz w:val="19"/>
          <w:szCs w:val="19"/>
        </w:rPr>
        <w:t xml:space="preserve">Priority 5 — Off-Site Backup (RF-002):</w:t>
      </w:r>
    </w:p>
    <w:p>
      <w:pPr>
        <w:spacing w:after="100" w:before="0"/>
        <w:jc w:val="left"/>
      </w:pPr>
      <w:r>
        <w:rPr>
          <w:rFonts w:ascii="Arial" w:cs="Arial" w:eastAsia="Arial" w:hAnsi="Arial"/>
          <w:b w:val="false"/>
          <w:bCs w:val="false"/>
          <w:i w:val="false"/>
          <w:iCs w:val="false"/>
          <w:color w:val="1A1A1A"/>
          <w:sz w:val="19"/>
          <w:szCs w:val="19"/>
        </w:rPr>
        <w:t xml:space="preserve">Implement an off-site or cloud backup capability for Oracle Insurance and Guidewire as an emergency Phase 2 action. The current on-site tape-only backup posture represents an unacceptable recovery risk.</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7.2  Updated CAP Recommendations</w:t>
      </w:r>
    </w:p>
    <w:p>
      <w:pPr>
        <w:spacing w:after="80" w:before="0"/>
        <w:jc w:val="left"/>
      </w:pPr>
      <w:r>
        <w:rPr>
          <w:rFonts w:ascii="Arial" w:cs="Arial" w:eastAsia="Arial" w:hAnsi="Arial"/>
          <w:b w:val="false"/>
          <w:bCs w:val="false"/>
          <w:i w:val="false"/>
          <w:iCs w:val="false"/>
          <w:color w:val="1A1A1A"/>
          <w:sz w:val="19"/>
          <w:szCs w:val="19"/>
        </w:rPr>
        <w:t xml:space="preserve">Five new corrective actions are recommended for incorporation into the updated CAP (RCA-P3C-004) to address the ECC-2:2024 delta gaps: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200"/>
        <w:gridCol w:w="4146"/>
      </w:tblGrid>
      <w:tr>
        <w:tc>
          <w:tcPr>
            <w:tcW w:type="dxa" w:w="16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Ref</w:t>
            </w:r>
          </w:p>
        </w:tc>
        <w:tc>
          <w:tcPr>
            <w:tcW w:type="dxa" w:w="28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Target</w:t>
            </w:r>
          </w:p>
        </w:tc>
        <w:tc>
          <w:tcPr>
            <w:tcW w:type="dxa" w:w="4146"/>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FFFFFF"/>
                <w:sz w:val="18"/>
                <w:szCs w:val="18"/>
              </w:rPr>
              <w:t xml:space="preserve">Finding</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CA-031</w:t>
            </w:r>
          </w:p>
        </w:tc>
        <w:tc>
          <w:tcPr>
            <w:tcW w:type="dxa" w:w="28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Establish cryptographic controls policy and conduct cryptographic asset discovery across Oracle Insurance, Guidewire, and Azure workloads</w:t>
            </w:r>
          </w:p>
        </w:tc>
        <w:tc>
          <w:tcPr>
            <w:tcW w:type="dxa" w:w="12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31 May 2025</w:t>
            </w:r>
          </w:p>
        </w:tc>
        <w:tc>
          <w:tcPr>
            <w:tcW w:type="dxa" w:w="41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CA-032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Execute cybersecurity addenda with Najm and Shafafiyah incorporating ECC-2:2024 obligations, right-to-audit, and incident notification requirements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30 Jun 2025</w:t>
            </w:r>
          </w:p>
        </w:tc>
        <w:tc>
          <w:tcPr>
            <w:tcW w:type="dxa" w:w="414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DG-002</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CA-033</w:t>
            </w:r>
          </w:p>
        </w:tc>
        <w:tc>
          <w:tcPr>
            <w:tcW w:type="dxa" w:w="28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Conduct supply chain cybersecurity risk assessment for Munich Re and Swiss Re; include cybersecurity obligations in reinsurance data processing agreements</w:t>
            </w:r>
          </w:p>
        </w:tc>
        <w:tc>
          <w:tcPr>
            <w:tcW w:type="dxa" w:w="12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31 Jul 2025</w:t>
            </w:r>
          </w:p>
        </w:tc>
        <w:tc>
          <w:tcPr>
            <w:tcW w:type="dxa" w:w="41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CA-034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Subscribe to NCA threat intelligence feeds; assign IT Security Manager as threat intelligence owner; integrate into vulnerability management process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31 May 2025</w:t>
            </w:r>
          </w:p>
        </w:tc>
        <w:tc>
          <w:tcPr>
            <w:tcW w:type="dxa" w:w="414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DG-004</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CA-035</w:t>
            </w:r>
          </w:p>
        </w:tc>
        <w:tc>
          <w:tcPr>
            <w:tcW w:type="dxa" w:w="28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Develop quantum-readiness roadmap following completion of cryptographic inventory (CA-031)</w:t>
            </w:r>
          </w:p>
        </w:tc>
        <w:tc>
          <w:tcPr>
            <w:tcW w:type="dxa" w:w="12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val="false"/>
                <w:bCs w:val="false"/>
                <w:i w:val="false"/>
                <w:iCs w:val="false"/>
                <w:color w:val="1A1A1A"/>
                <w:sz w:val="18"/>
                <w:szCs w:val="18"/>
              </w:rPr>
              <w:t xml:space="preserve">31 Jul 2025</w:t>
            </w:r>
          </w:p>
        </w:tc>
        <w:tc>
          <w:tcPr>
            <w:tcW w:type="dxa" w:w="4146"/>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vAlign w:val="top"/>
          </w:tcPr>
          <w:p>
            <w:pPr>
              <w:spacing w:after="0" w:before="0"/>
              <w:jc w:val="left"/>
            </w:pPr>
            <w:r>
              <w:rPr>
                <w:rFonts w:ascii="Arial" w:cs="Arial" w:eastAsia="Arial" w:hAnsi="Arial"/>
                <w:b/>
                <w:bCs/>
                <w:i w:val="false"/>
                <w:iCs w:val="false"/>
                <w:color w:val="1B2A4A"/>
                <w:sz w:val="18"/>
                <w:szCs w:val="18"/>
              </w:rPr>
              <w:t xml:space="preserve">DG-005</w:t>
            </w:r>
          </w:p>
        </w:tc>
      </w:tr>
    </w:tbl>
    <w:p>
      <w:pPr>
        <w:spacing w:after="120" w:before="0"/>
      </w:pPr>
      <w:r>
        <w:t xml:space="preserve"> </w:t>
      </w:r>
    </w:p>
    <w:p>
      <w:pPr>
        <w:spacing w:after="120" w:before="0"/>
      </w:pPr>
      <w:r>
        <w:t xml:space="preserve"> </w:t>
      </w:r>
    </w:p>
    <w:p>
      <w:pPr>
        <w:pBdr>
          <w:bottom w:val="single" w:color="C8A951" w:sz="6" w:space="4"/>
        </w:pBdr>
        <w:spacing w:after="80" w:before="0"/>
        <w:jc w:val="left"/>
      </w:pPr>
      <w:r>
        <w:rPr>
          <w:rFonts w:ascii="Arial" w:cs="Arial" w:eastAsia="Arial" w:hAnsi="Arial"/>
          <w:b/>
          <w:bCs/>
          <w:i w:val="false"/>
          <w:iCs w:val="false"/>
          <w:color w:val="1B2A4A"/>
          <w:sz w:val="20"/>
          <w:szCs w:val="20"/>
        </w:rPr>
        <w:t xml:space="preserve">7.3  Conformance Trajectory</w:t>
      </w:r>
    </w:p>
    <w:p>
      <w:pPr>
        <w:spacing w:after="120" w:before="0"/>
        <w:jc w:val="left"/>
      </w:pPr>
      <w:r>
        <w:rPr>
          <w:rFonts w:ascii="Arial" w:cs="Arial" w:eastAsia="Arial" w:hAnsi="Arial"/>
          <w:b w:val="false"/>
          <w:bCs w:val="false"/>
          <w:i w:val="false"/>
          <w:iCs w:val="false"/>
          <w:color w:val="1A1A1A"/>
          <w:sz w:val="19"/>
          <w:szCs w:val="19"/>
        </w:rPr>
        <w:t xml:space="preserve">If Phase 2 and 3 actions are executed as planned and the five new ECC-2:2024 delta gap actions (CA-031 to CA-035) are completed by July 2025, Al Ameen is projected to achieve approximately 58–62% ECC-2:2024 conformance by October 2025 — meeting the CA-030 target of 60% and positioning the organisation for an NCA ECC-2:2024 certification-readiness assessment in Q1 2026.</w:t>
      </w:r>
    </w:p>
    <w:p>
      <w:pPr>
        <w:spacing w:after="120" w:before="0"/>
        <w:jc w:val="left"/>
      </w:pPr>
      <w:r>
        <w:rPr>
          <w:rFonts w:ascii="Arial" w:cs="Arial" w:eastAsia="Arial" w:hAnsi="Arial"/>
          <w:b w:val="false"/>
          <w:bCs w:val="false"/>
          <w:i w:val="false"/>
          <w:iCs w:val="false"/>
          <w:color w:val="1A1A1A"/>
          <w:sz w:val="19"/>
          <w:szCs w:val="19"/>
        </w:rPr>
        <w:t xml:space="preserve">A follow-up progress review is recommended for September 2025 to verify Phase 3 action completion and assess the updated conformance position ahead of the October 2025 Phase 4 target.</w:t>
      </w:r>
    </w:p>
    <w:p>
      <w:pPr>
        <w:spacing w:after="200" w:before="0"/>
      </w:pPr>
      <w:r>
        <w:t xml:space="preserve"> </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CCCCC" w:sz="1"/>
              <w:left w:val="single" w:color="CCCCCC" w:sz="1"/>
              <w:bottom w:val="single" w:color="CCCCCC" w:sz="1"/>
              <w:right w:val="single" w:color="CCCCCC" w:sz="1"/>
            </w:tcBorders>
            <w:shd w:fill="EEF1F7" w:val="clear"/>
            <w:tcMar>
              <w:top w:type="dxa" w:w="120"/>
              <w:left w:type="dxa" w:w="180"/>
              <w:bottom w:type="dxa" w:w="120"/>
              <w:right w:type="dxa" w:w="180"/>
            </w:tcMar>
            <w:vAlign w:val="top"/>
          </w:tcPr>
          <w:p>
            <w:pPr>
              <w:spacing w:after="0" w:before="0"/>
              <w:jc w:val="center"/>
            </w:pPr>
            <w:r>
              <w:rPr>
                <w:rFonts w:ascii="Arial" w:cs="Arial" w:eastAsia="Arial" w:hAnsi="Arial"/>
                <w:b w:val="false"/>
                <w:bCs w:val="false"/>
                <w:i/>
                <w:iCs/>
                <w:color w:val="666666"/>
                <w:sz w:val="17"/>
                <w:szCs w:val="17"/>
              </w:rPr>
              <w:t xml:space="preserve">This report is issued by Resolute Compliance Advisory LLP under engagement RCA-P3C (Al Ameen Insurance Company — ECC-2:2024 Delta Assessment). All findings are based on evidence reviewed during fieldwork conducted 10 February – 14 March 2025. Queries should be directed to kay Shahbaaz, GRC Auditor.</w:t>
            </w:r>
          </w:p>
        </w:tc>
      </w:tr>
    </w:tbl>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746"/>
      </w:tabs>
      <w:spacing w:before="80"/>
    </w:pPr>
    <w:r>
      <w:rPr>
        <w:rFonts w:ascii="Arial" w:cs="Arial" w:eastAsia="Arial" w:hAnsi="Arial"/>
        <w:b w:val="false"/>
        <w:bCs w:val="false"/>
        <w:i w:val="false"/>
        <w:iCs w:val="false"/>
        <w:color w:val="666666"/>
        <w:sz w:val="16"/>
        <w:szCs w:val="16"/>
      </w:rPr>
      <w:t xml:space="preserve">Resolute Compliance Advisory LLP  ·  RCA-P3C-003  ·  v1.0  ·  CONFIDENTIAL</w:t>
    </w:r>
    <w:r>
      <w:rPr>
        <w:rFonts w:ascii="Arial" w:cs="Arial" w:eastAsia="Arial" w:hAnsi="Arial"/>
        <w:sz w:val="16"/>
        <w:szCs w:val="16"/>
      </w:rPr>
      <w:t xml:space="preserve">	</w:t>
    </w:r>
    <w:r>
      <w:rPr>
        <w:rFonts w:ascii="Arial" w:cs="Arial" w:eastAsia="Arial" w:hAnsi="Arial"/>
        <w:b w:val="false"/>
        <w:bCs w:val="false"/>
        <w:i w:val="false"/>
        <w:iCs w:val="false"/>
        <w:color w:val="666666"/>
        <w:sz w:val="16"/>
        <w:szCs w:val="16"/>
      </w:rPr>
      <w:t xml:space="preserve">Page </w:t>
    </w:r>
    <w:fldSimple w:instr="PAGE">
      <w:r>
        <w:rPr>
          <w:rFonts w:ascii="Arial" w:cs="Arial" w:eastAsia="Arial" w:hAnsi="Arial"/>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single" w:color="1B2A4A" w:sz="8"/>
        <w:right w:val="none" w:color="FFFFFF" w:sz="0"/>
        <w:insideH w:val="single" w:color="auto" w:sz="4"/>
        <w:insideV w:val="single" w:color="auto" w:sz="4"/>
      </w:tblBorders>
    </w:tblPr>
    <w:tblGrid>
      <w:gridCol w:w="6946"/>
      <w:gridCol w:w="2800"/>
    </w:tblGrid>
    <w:tr>
      <w:tc>
        <w:tcPr>
          <w:tcW w:type="dxa" w:w="6946"/>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B2A4A"/>
              <w:sz w:val="22"/>
              <w:szCs w:val="22"/>
            </w:rPr>
            <w:t xml:space="preserve">RESOLUTE</w:t>
          </w:r>
          <w:r>
            <w:rPr>
              <w:rFonts w:ascii="Arial" w:cs="Arial" w:eastAsia="Arial" w:hAnsi="Arial"/>
              <w:b w:val="false"/>
              <w:bCs w:val="false"/>
              <w:i w:val="false"/>
              <w:iCs w:val="false"/>
              <w:color w:val="1B2A4A"/>
              <w:sz w:val="16"/>
              <w:szCs w:val="16"/>
            </w:rPr>
            <w:t xml:space="preserve"> COMPLIANCE ADVISORY LLP</w:t>
          </w:r>
        </w:p>
        <w:p>
          <w:pPr>
            <w:spacing w:after="0" w:before="0"/>
            <w:jc w:val="left"/>
          </w:pPr>
          <w:r>
            <w:rPr>
              <w:rFonts w:ascii="Arial" w:cs="Arial" w:eastAsia="Arial" w:hAnsi="Arial"/>
              <w:b w:val="false"/>
              <w:bCs w:val="false"/>
              <w:i/>
              <w:iCs/>
              <w:color w:val="666666"/>
              <w:sz w:val="16"/>
              <w:szCs w:val="16"/>
            </w:rPr>
            <w:t xml:space="preserve">Governance · Risk · Compliance</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0" w:before="0"/>
            <w:jc w:val="right"/>
          </w:pPr>
          <w:r>
            <w:rPr>
              <w:rFonts w:ascii="Arial" w:cs="Arial" w:eastAsia="Arial" w:hAnsi="Arial"/>
              <w:b/>
              <w:bCs/>
              <w:i w:val="false"/>
              <w:iCs w:val="false"/>
              <w:color w:val="C8A951"/>
              <w:sz w:val="16"/>
              <w:szCs w:val="16"/>
            </w:rPr>
            <w:t xml:space="preserve">CONFIDENTIAL</w:t>
          </w:r>
        </w:p>
        <w:p>
          <w:pPr>
            <w:spacing w:after="0" w:before="0"/>
            <w:jc w:val="right"/>
          </w:pPr>
          <w:r>
            <w:rPr>
              <w:rFonts w:ascii="Arial" w:cs="Arial" w:eastAsia="Arial" w:hAnsi="Arial"/>
              <w:b w:val="false"/>
              <w:bCs w:val="false"/>
              <w:i w:val="false"/>
              <w:iCs w:val="false"/>
              <w:color w:val="666666"/>
              <w:sz w:val="16"/>
              <w:szCs w:val="16"/>
            </w:rPr>
            <w:t xml:space="preserve">RCA-P3C-003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2026-06-27T01:32:08.688Z</dcterms:created>
  <dcterms:modified xsi:type="dcterms:W3CDTF">2026-06-27T01:32:08.700Z</dcterms:modified>
</cp:coreProperties>
</file>

<file path=docProps/custom.xml><?xml version="1.0" encoding="utf-8"?>
<Properties xmlns="http://schemas.openxmlformats.org/officeDocument/2006/custom-properties" xmlns:vt="http://schemas.openxmlformats.org/officeDocument/2006/docPropsVTypes"/>
</file>