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none"/>
          <w:left w:val="none"/>
          <w:bottom w:val="none"/>
          <w:right w:val="none"/>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1B2A4A" w:val="clear"/>
            <w:tcMar>
              <w:top w:type="dxa" w:w="280"/>
              <w:left w:type="dxa" w:w="360"/>
              <w:bottom w:type="dxa" w:w="280"/>
              <w:right w:type="dxa" w:w="360"/>
            </w:tcMar>
          </w:tcPr>
          <w:p>
            <w:pPr>
              <w:jc w:val="center"/>
            </w:pPr>
            <w:r>
              <w:rPr>
                <w:rFonts w:ascii="Arial" w:cs="Arial" w:eastAsia="Arial" w:hAnsi="Arial"/>
                <w:b/>
                <w:bCs/>
                <w:i w:val="false"/>
                <w:iCs w:val="false"/>
                <w:color w:val="FFFFFF"/>
                <w:sz w:val="28"/>
                <w:szCs w:val="28"/>
              </w:rPr>
              <w:t xml:space="preserve">RESOLUTE COMPLIANCE ADVISORY LLP</w:t>
            </w:r>
          </w:p>
          <w:p>
            <w:pPr>
              <w:jc w:val="center"/>
            </w:pPr>
            <w:r>
              <w:rPr>
                <w:rFonts w:ascii="Arial" w:cs="Arial" w:eastAsia="Arial" w:hAnsi="Arial"/>
                <w:b w:val="false"/>
                <w:bCs w:val="false"/>
                <w:i/>
                <w:iCs/>
                <w:color w:val="C8A951"/>
                <w:sz w:val="20"/>
                <w:szCs w:val="20"/>
              </w:rPr>
              <w:t xml:space="preserve">Governance · Risk · Compliance</w:t>
            </w:r>
          </w:p>
        </w:tc>
      </w:tr>
    </w:tbl>
    <w:p>
      <w:pPr>
        <w:spacing w:after="0" w:before="600"/>
      </w:pPr>
      <w:r>
        <w:t xml:space="preserve"/>
      </w:r>
    </w:p>
    <w:p>
      <w:pPr>
        <w:jc w:val="center"/>
      </w:pPr>
      <w:r>
        <w:rPr>
          <w:rFonts w:ascii="Arial" w:cs="Arial" w:eastAsia="Arial" w:hAnsi="Arial"/>
          <w:b/>
          <w:bCs/>
          <w:i w:val="false"/>
          <w:iCs w:val="false"/>
          <w:color w:val="C8A951"/>
          <w:sz w:val="22"/>
          <w:szCs w:val="22"/>
        </w:rPr>
        <w:t xml:space="preserve">COMPLIANCE AUDIT REPORT</w:t>
      </w:r>
    </w:p>
    <w:p>
      <w:pPr>
        <w:spacing w:after="0" w:before="60"/>
      </w:pPr>
      <w:r>
        <w:t xml:space="preserve"/>
      </w:r>
    </w:p>
    <w:p>
      <w:pPr>
        <w:jc w:val="center"/>
      </w:pPr>
      <w:r>
        <w:rPr>
          <w:rFonts w:ascii="Arial" w:cs="Arial" w:eastAsia="Arial" w:hAnsi="Arial"/>
          <w:b/>
          <w:bCs/>
          <w:i w:val="false"/>
          <w:iCs w:val="false"/>
          <w:color w:val="1B2A4A"/>
          <w:sz w:val="36"/>
          <w:szCs w:val="36"/>
        </w:rPr>
        <w:t xml:space="preserve">NCA ECC-1:2018 + SAMA CSF</w:t>
      </w:r>
    </w:p>
    <w:p>
      <w:pPr>
        <w:jc w:val="center"/>
      </w:pPr>
      <w:r>
        <w:rPr>
          <w:rFonts w:ascii="Arial" w:cs="Arial" w:eastAsia="Arial" w:hAnsi="Arial"/>
          <w:b/>
          <w:bCs/>
          <w:i w:val="false"/>
          <w:iCs w:val="false"/>
          <w:color w:val="1B2A4A"/>
          <w:sz w:val="30"/>
          <w:szCs w:val="30"/>
        </w:rPr>
        <w:t xml:space="preserve">Audit Findings Report</w:t>
      </w:r>
    </w:p>
    <w:p>
      <w:pPr>
        <w:spacing w:after="0" w:before="480"/>
      </w:pPr>
      <w:r>
        <w:t xml:space="preserve"/>
      </w:r>
    </w:p>
    <w:p>
      <w:pPr>
        <w:pBdr>
          <w:bottom w:val="single" w:color="C8A951" w:sz="8" w:space="1"/>
        </w:pBdr>
        <w:spacing w:after="0" w:before="0"/>
      </w:pPr>
      <w:r>
        <w:t xml:space="preserve"/>
      </w:r>
    </w:p>
    <w:p>
      <w:pPr>
        <w:spacing w:after="0" w:before="480"/>
      </w:pPr>
      <w:r>
        <w:t xml:space="preserve"/>
      </w:r>
    </w:p>
    <w:tbl>
      <w:tblPr>
        <w:tblW w:type="dxa" w:w="9746"/>
        <w:tblBorders>
          <w:top w:val="none"/>
          <w:left w:val="none"/>
          <w:bottom w:val="none"/>
          <w:right w:val="none"/>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EEF1F7" w:val="clear"/>
            <w:tcMar>
              <w:top w:type="dxa" w:w="240"/>
              <w:left w:type="dxa" w:w="360"/>
              <w:bottom w:type="dxa" w:w="240"/>
              <w:right w:type="dxa" w:w="360"/>
            </w:tcMar>
          </w:tcPr>
          <w:p>
            <w:pPr>
              <w:jc w:val="center"/>
            </w:pPr>
            <w:r>
              <w:rPr>
                <w:rFonts w:ascii="Arial" w:cs="Arial" w:eastAsia="Arial" w:hAnsi="Arial"/>
                <w:b w:val="false"/>
                <w:bCs w:val="false"/>
                <w:i/>
                <w:iCs/>
                <w:color w:val="666666"/>
                <w:sz w:val="18"/>
                <w:szCs w:val="18"/>
              </w:rPr>
              <w:t xml:space="preserve">Prepared for</w:t>
            </w:r>
          </w:p>
          <w:p>
            <w:pPr>
              <w:spacing w:after="0" w:before="60"/>
            </w:pPr>
            <w:r>
              <w:t xml:space="preserve"/>
            </w:r>
          </w:p>
          <w:p>
            <w:pPr>
              <w:jc w:val="center"/>
            </w:pPr>
            <w:r>
              <w:rPr>
                <w:rFonts w:ascii="Arial" w:cs="Arial" w:eastAsia="Arial" w:hAnsi="Arial"/>
                <w:b/>
                <w:bCs/>
                <w:i w:val="false"/>
                <w:iCs w:val="false"/>
                <w:color w:val="1B2A4A"/>
                <w:sz w:val="32"/>
                <w:szCs w:val="32"/>
              </w:rPr>
              <w:t xml:space="preserve">Al Ameen Insurance Company</w:t>
            </w:r>
          </w:p>
          <w:p>
            <w:pPr>
              <w:jc w:val="center"/>
            </w:pPr>
            <w:r>
              <w:rPr>
                <w:rFonts w:ascii="Arial" w:cs="Arial" w:eastAsia="Arial" w:hAnsi="Arial"/>
                <w:b w:val="false"/>
                <w:bCs w:val="false"/>
                <w:i w:val="false"/>
                <w:iCs w:val="false"/>
                <w:color w:val="666666"/>
                <w:sz w:val="22"/>
                <w:szCs w:val="22"/>
              </w:rPr>
              <w:t xml:space="preserve">شركة الأمين للتأمين</w:t>
            </w:r>
          </w:p>
          <w:p>
            <w:pPr>
              <w:spacing w:after="0" w:before="60"/>
            </w:pPr>
            <w:r>
              <w:t xml:space="preserve"/>
            </w:r>
          </w:p>
          <w:p>
            <w:pPr>
              <w:jc w:val="center"/>
            </w:pPr>
            <w:r>
              <w:rPr>
                <w:rFonts w:ascii="Arial" w:cs="Arial" w:eastAsia="Arial" w:hAnsi="Arial"/>
                <w:b w:val="false"/>
                <w:bCs w:val="false"/>
                <w:i w:val="false"/>
                <w:iCs w:val="false"/>
                <w:color w:val="666666"/>
                <w:sz w:val="20"/>
                <w:szCs w:val="20"/>
              </w:rPr>
              <w:t xml:space="preserve">Insurance  ·  Riyadh, Saudi Arabia</w:t>
            </w:r>
          </w:p>
          <w:p>
            <w:pPr>
              <w:jc w:val="center"/>
            </w:pPr>
            <w:r>
              <w:rPr>
                <w:rFonts w:ascii="Arial" w:cs="Arial" w:eastAsia="Arial" w:hAnsi="Arial"/>
                <w:b w:val="false"/>
                <w:bCs w:val="false"/>
                <w:i w:val="false"/>
                <w:iCs w:val="false"/>
                <w:color w:val="666666"/>
                <w:sz w:val="20"/>
                <w:szCs w:val="20"/>
              </w:rPr>
              <w:t xml:space="preserve">Audit Period: 15 July 2024 – 31 October 2024</w:t>
            </w:r>
          </w:p>
        </w:tc>
      </w:tr>
    </w:tbl>
    <w:p>
      <w:pPr>
        <w:spacing w:after="0" w:before="480"/>
      </w:pPr>
      <w:r>
        <w:t xml:space="preserve"/>
      </w:r>
    </w:p>
    <w:tbl>
      <w:tblPr>
        <w:tblW w:type="dxa" w:w="9746"/>
        <w:tblBorders>
          <w:top w:val="none"/>
          <w:left w:val="none"/>
          <w:bottom w:val="none"/>
          <w:right w:val="none"/>
          <w:insideH w:val="single" w:color="auto" w:sz="4"/>
          <w:insideV w:val="single" w:color="auto" w:sz="4"/>
        </w:tblBorders>
      </w:tblPr>
      <w:tblGrid>
        <w:gridCol w:w="3248"/>
        <w:gridCol w:w="3249"/>
        <w:gridCol w:w="3249"/>
      </w:tblGrid>
      <w:tr>
        <w:tc>
          <w:tcPr>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jc w:val="center"/>
            </w:pPr>
            <w:r>
              <w:rPr>
                <w:rFonts w:ascii="Arial" w:cs="Arial" w:eastAsia="Arial" w:hAnsi="Arial"/>
                <w:b w:val="false"/>
                <w:bCs w:val="false"/>
                <w:i/>
                <w:iCs/>
                <w:color w:val="C8A951"/>
                <w:sz w:val="16"/>
                <w:szCs w:val="16"/>
              </w:rPr>
              <w:t xml:space="preserve">Prepared by</w:t>
            </w:r>
          </w:p>
          <w:p>
            <w:pPr>
              <w:jc w:val="center"/>
            </w:pPr>
            <w:r>
              <w:rPr>
                <w:rFonts w:ascii="Arial" w:cs="Arial" w:eastAsia="Arial" w:hAnsi="Arial"/>
                <w:b/>
                <w:bCs/>
                <w:i w:val="false"/>
                <w:iCs w:val="false"/>
                <w:color w:val="FFFFFF"/>
                <w:sz w:val="20"/>
                <w:szCs w:val="20"/>
              </w:rPr>
              <w:t xml:space="preserve">kay Shahbaaz</w:t>
            </w:r>
          </w:p>
          <w:p>
            <w:pPr>
              <w:jc w:val="center"/>
            </w:pPr>
            <w:r>
              <w:rPr>
                <w:rFonts w:ascii="Arial" w:cs="Arial" w:eastAsia="Arial" w:hAnsi="Arial"/>
                <w:b w:val="false"/>
                <w:bCs w:val="false"/>
                <w:i w:val="false"/>
                <w:iCs w:val="false"/>
                <w:color w:val="C8A951"/>
                <w:sz w:val="16"/>
                <w:szCs w:val="16"/>
              </w:rPr>
              <w:t xml:space="preserve">GRC Auditor</w:t>
            </w:r>
          </w:p>
        </w:tc>
        <w:tc>
          <w:tcPr>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jc w:val="center"/>
            </w:pPr>
            <w:r>
              <w:rPr>
                <w:rFonts w:ascii="Arial" w:cs="Arial" w:eastAsia="Arial" w:hAnsi="Arial"/>
                <w:b w:val="false"/>
                <w:bCs w:val="false"/>
                <w:i/>
                <w:iCs/>
                <w:color w:val="C8A951"/>
                <w:sz w:val="16"/>
                <w:szCs w:val="16"/>
              </w:rPr>
              <w:t xml:space="preserve">Date</w:t>
            </w:r>
          </w:p>
          <w:p>
            <w:pPr>
              <w:jc w:val="center"/>
            </w:pPr>
            <w:r>
              <w:rPr>
                <w:rFonts w:ascii="Arial" w:cs="Arial" w:eastAsia="Arial" w:hAnsi="Arial"/>
                <w:b/>
                <w:bCs/>
                <w:i w:val="false"/>
                <w:iCs w:val="false"/>
                <w:color w:val="FFFFFF"/>
                <w:sz w:val="20"/>
                <w:szCs w:val="20"/>
              </w:rPr>
              <w:t xml:space="preserve">31 October 2024</w:t>
            </w:r>
          </w:p>
        </w:tc>
        <w:tc>
          <w:tcPr>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jc w:val="center"/>
            </w:pPr>
            <w:r>
              <w:rPr>
                <w:rFonts w:ascii="Arial" w:cs="Arial" w:eastAsia="Arial" w:hAnsi="Arial"/>
                <w:b w:val="false"/>
                <w:bCs w:val="false"/>
                <w:i/>
                <w:iCs/>
                <w:color w:val="C8A951"/>
                <w:sz w:val="16"/>
                <w:szCs w:val="16"/>
              </w:rPr>
              <w:t xml:space="preserve">Document Ref</w:t>
            </w:r>
          </w:p>
          <w:p>
            <w:pPr>
              <w:jc w:val="center"/>
            </w:pPr>
            <w:r>
              <w:rPr>
                <w:rFonts w:ascii="Arial" w:cs="Arial" w:eastAsia="Arial" w:hAnsi="Arial"/>
                <w:b/>
                <w:bCs/>
                <w:i w:val="false"/>
                <w:iCs w:val="false"/>
                <w:color w:val="FFFFFF"/>
                <w:sz w:val="20"/>
                <w:szCs w:val="20"/>
              </w:rPr>
              <w:t xml:space="preserve">RCA-P3-003</w:t>
            </w:r>
          </w:p>
        </w:tc>
      </w:tr>
    </w:tbl>
    <w:p>
      <w:pPr>
        <w:spacing w:after="0" w:before="480"/>
      </w:pPr>
      <w:r>
        <w:t xml:space="preserve"/>
      </w:r>
    </w:p>
    <w:tbl>
      <w:tblPr>
        <w:tblW w:type="dxa" w:w="9746"/>
        <w:tblBorders>
          <w:top w:val="none"/>
          <w:left w:val="none"/>
          <w:bottom w:val="none"/>
          <w:right w:val="none"/>
          <w:insideH w:val="single" w:color="auto" w:sz="4"/>
          <w:insideV w:val="single" w:color="auto" w:sz="4"/>
        </w:tblBorders>
      </w:tblPr>
      <w:tblGrid>
        <w:gridCol w:w="9746"/>
      </w:tblGrid>
      <w:tr>
        <w:tc>
          <w:tcPr>
            <w:tcBorders>
              <w:top w:val="single" w:color="C8A951" w:sz="4"/>
              <w:left w:val="single" w:color="C8A951" w:sz="4"/>
              <w:bottom w:val="single" w:color="C8A951" w:sz="4"/>
              <w:right w:val="single" w:color="C8A951" w:sz="4"/>
            </w:tcBorders>
            <w:shd w:fill="EEF1F7" w:val="clear"/>
            <w:tcMar>
              <w:top w:type="dxa" w:w="160"/>
              <w:left w:type="dxa" w:w="240"/>
              <w:bottom w:type="dxa" w:w="160"/>
              <w:right w:type="dxa" w:w="240"/>
            </w:tcMar>
          </w:tcPr>
          <w:p>
            <w:pPr>
              <w:jc w:val="center"/>
            </w:pPr>
            <w:r>
              <w:rPr>
                <w:rFonts w:ascii="Arial" w:cs="Arial" w:eastAsia="Arial" w:hAnsi="Arial"/>
                <w:b/>
                <w:bCs/>
                <w:i w:val="false"/>
                <w:iCs w:val="false"/>
                <w:color w:val="1B2A4A"/>
                <w:sz w:val="18"/>
                <w:szCs w:val="18"/>
              </w:rPr>
              <w:t xml:space="preserve">CONFIDENTIALITY NOTICE</w:t>
            </w:r>
          </w:p>
          <w:p>
            <w:pPr>
              <w:spacing w:after="0" w:before="60"/>
            </w:pPr>
            <w:r>
              <w:t xml:space="preserve"/>
            </w:r>
          </w:p>
          <w:p>
            <w:pPr>
              <w:jc w:val="both"/>
            </w:pPr>
            <w:r>
              <w:rPr>
                <w:rFonts w:ascii="Arial" w:cs="Arial" w:eastAsia="Arial" w:hAnsi="Arial"/>
                <w:b w:val="false"/>
                <w:bCs w:val="false"/>
                <w:i/>
                <w:iCs/>
                <w:color w:val="666666"/>
                <w:sz w:val="18"/>
                <w:szCs w:val="18"/>
              </w:rPr>
              <w:t xml:space="preserve">This document is prepared exclusively for Al Ameen Insurance Company and contains confidential audit findings and proprietary information belonging to Resolute Compliance Advisory LLP. It may not be disclosed, reproduced, or distributed to any third party without the prior written consent of Resolute Compliance Advisory LLP. Unauthorised use or disclosure is strictly prohibited.</w:t>
            </w:r>
          </w:p>
        </w:tc>
      </w:tr>
    </w:tbl>
    <w:p>
      <w:r>
        <w:br w:type="page"/>
      </w:r>
    </w:p>
    <w:p>
      <w:pPr>
        <w:pStyle w:val="Heading1"/>
        <w:pBdr>
          <w:bottom w:val="single" w:color="C8A951" w:sz="4" w:space="4"/>
        </w:pBdr>
        <w:spacing w:after="160" w:before="320"/>
      </w:pPr>
      <w:r>
        <w:rPr>
          <w:rFonts w:ascii="Arial" w:cs="Arial" w:eastAsia="Arial" w:hAnsi="Arial"/>
          <w:b/>
          <w:bCs/>
          <w:i w:val="false"/>
          <w:iCs w:val="false"/>
          <w:color w:val="1B2A4A"/>
          <w:sz w:val="26"/>
          <w:szCs w:val="26"/>
        </w:rPr>
        <w:t xml:space="preserve">Document Control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C8D4E4" w:sz="1"/>
              <w:left w:val="single" w:color="C8D4E4" w:sz="1"/>
              <w:bottom w:val="single" w:color="C8D4E4" w:sz="1"/>
              <w:right w:val="single" w:color="C8D4E4" w:sz="1"/>
            </w:tcBorders>
            <w:shd w:fill="EEF1F7" w:val="clear"/>
            <w:tcMar>
              <w:top w:type="dxa" w:w="80"/>
              <w:left w:type="dxa" w:w="120"/>
              <w:bottom w:type="dxa" w:w="80"/>
              <w:right w:type="dxa" w:w="120"/>
            </w:tcMar>
          </w:tcPr>
          <w:p>
            <w:r>
              <w:rPr>
                <w:rFonts w:ascii="Arial" w:cs="Arial" w:eastAsia="Arial" w:hAnsi="Arial"/>
                <w:b/>
                <w:bCs/>
                <w:i w:val="false"/>
                <w:iCs w:val="false"/>
                <w:color w:val="1B2A4A"/>
                <w:sz w:val="20"/>
                <w:szCs w:val="20"/>
              </w:rPr>
              <w:t xml:space="preserve">Document Title</w:t>
            </w:r>
          </w:p>
        </w:tc>
        <w:tc>
          <w:tcPr>
            <w:tcW w:type="dxa" w:w="6746"/>
            <w:tcBorders>
              <w:top w:val="single" w:color="C8D4E4" w:sz="1"/>
              <w:left w:val="single" w:color="C8D4E4" w:sz="1"/>
              <w:bottom w:val="single" w:color="C8D4E4" w:sz="1"/>
              <w:right w:val="single" w:color="C8D4E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NCA ECC-1:2018 + SAMA CSF Audit Findings Report</w:t>
            </w:r>
          </w:p>
        </w:tc>
      </w:tr>
      <w:tr>
        <w:tc>
          <w:tcPr>
            <w:tcW w:type="dxa" w:w="3000"/>
            <w:tcBorders>
              <w:top w:val="single" w:color="C8D4E4" w:sz="1"/>
              <w:left w:val="single" w:color="C8D4E4" w:sz="1"/>
              <w:bottom w:val="single" w:color="C8D4E4" w:sz="1"/>
              <w:right w:val="single" w:color="C8D4E4" w:sz="1"/>
            </w:tcBorders>
            <w:shd w:fill="EEF1F7" w:val="clear"/>
            <w:tcMar>
              <w:top w:type="dxa" w:w="80"/>
              <w:left w:type="dxa" w:w="120"/>
              <w:bottom w:type="dxa" w:w="80"/>
              <w:right w:type="dxa" w:w="120"/>
            </w:tcMar>
          </w:tcPr>
          <w:p>
            <w:r>
              <w:rPr>
                <w:rFonts w:ascii="Arial" w:cs="Arial" w:eastAsia="Arial" w:hAnsi="Arial"/>
                <w:b/>
                <w:bCs/>
                <w:i w:val="false"/>
                <w:iCs w:val="false"/>
                <w:color w:val="1B2A4A"/>
                <w:sz w:val="20"/>
                <w:szCs w:val="20"/>
              </w:rPr>
              <w:t xml:space="preserve">Document Ref</w:t>
            </w:r>
          </w:p>
        </w:tc>
        <w:tc>
          <w:tcPr>
            <w:tcW w:type="dxa" w:w="6746"/>
            <w:tcBorders>
              <w:top w:val="single" w:color="C8D4E4" w:sz="1"/>
              <w:left w:val="single" w:color="C8D4E4" w:sz="1"/>
              <w:bottom w:val="single" w:color="C8D4E4" w:sz="1"/>
              <w:right w:val="single" w:color="C8D4E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RCA-P3-003</w:t>
            </w:r>
          </w:p>
        </w:tc>
      </w:tr>
      <w:tr>
        <w:tc>
          <w:tcPr>
            <w:tcW w:type="dxa" w:w="3000"/>
            <w:tcBorders>
              <w:top w:val="single" w:color="C8D4E4" w:sz="1"/>
              <w:left w:val="single" w:color="C8D4E4" w:sz="1"/>
              <w:bottom w:val="single" w:color="C8D4E4" w:sz="1"/>
              <w:right w:val="single" w:color="C8D4E4" w:sz="1"/>
            </w:tcBorders>
            <w:shd w:fill="EEF1F7" w:val="clear"/>
            <w:tcMar>
              <w:top w:type="dxa" w:w="80"/>
              <w:left w:type="dxa" w:w="120"/>
              <w:bottom w:type="dxa" w:w="80"/>
              <w:right w:type="dxa" w:w="120"/>
            </w:tcMar>
          </w:tcPr>
          <w:p>
            <w:r>
              <w:rPr>
                <w:rFonts w:ascii="Arial" w:cs="Arial" w:eastAsia="Arial" w:hAnsi="Arial"/>
                <w:b/>
                <w:bCs/>
                <w:i w:val="false"/>
                <w:iCs w:val="false"/>
                <w:color w:val="1B2A4A"/>
                <w:sz w:val="20"/>
                <w:szCs w:val="20"/>
              </w:rPr>
              <w:t xml:space="preserve">Client</w:t>
            </w:r>
          </w:p>
        </w:tc>
        <w:tc>
          <w:tcPr>
            <w:tcW w:type="dxa" w:w="6746"/>
            <w:tcBorders>
              <w:top w:val="single" w:color="C8D4E4" w:sz="1"/>
              <w:left w:val="single" w:color="C8D4E4" w:sz="1"/>
              <w:bottom w:val="single" w:color="C8D4E4" w:sz="1"/>
              <w:right w:val="single" w:color="C8D4E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Al Ameen Insurance Company</w:t>
            </w:r>
          </w:p>
        </w:tc>
      </w:tr>
      <w:tr>
        <w:tc>
          <w:tcPr>
            <w:tcW w:type="dxa" w:w="3000"/>
            <w:tcBorders>
              <w:top w:val="single" w:color="C8D4E4" w:sz="1"/>
              <w:left w:val="single" w:color="C8D4E4" w:sz="1"/>
              <w:bottom w:val="single" w:color="C8D4E4" w:sz="1"/>
              <w:right w:val="single" w:color="C8D4E4" w:sz="1"/>
            </w:tcBorders>
            <w:shd w:fill="EEF1F7" w:val="clear"/>
            <w:tcMar>
              <w:top w:type="dxa" w:w="80"/>
              <w:left w:type="dxa" w:w="120"/>
              <w:bottom w:type="dxa" w:w="80"/>
              <w:right w:type="dxa" w:w="120"/>
            </w:tcMar>
          </w:tcPr>
          <w:p>
            <w:r>
              <w:rPr>
                <w:rFonts w:ascii="Arial" w:cs="Arial" w:eastAsia="Arial" w:hAnsi="Arial"/>
                <w:b/>
                <w:bCs/>
                <w:i w:val="false"/>
                <w:iCs w:val="false"/>
                <w:color w:val="1B2A4A"/>
                <w:sz w:val="20"/>
                <w:szCs w:val="20"/>
              </w:rPr>
              <w:t xml:space="preserve">Project</w:t>
            </w:r>
          </w:p>
        </w:tc>
        <w:tc>
          <w:tcPr>
            <w:tcW w:type="dxa" w:w="6746"/>
            <w:tcBorders>
              <w:top w:val="single" w:color="C8D4E4" w:sz="1"/>
              <w:left w:val="single" w:color="C8D4E4" w:sz="1"/>
              <w:bottom w:val="single" w:color="C8D4E4" w:sz="1"/>
              <w:right w:val="single" w:color="C8D4E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NCA ECC-1:2018 + SAMA CSF Compliance Audit</w:t>
            </w:r>
          </w:p>
        </w:tc>
      </w:tr>
      <w:tr>
        <w:tc>
          <w:tcPr>
            <w:tcW w:type="dxa" w:w="3000"/>
            <w:tcBorders>
              <w:top w:val="single" w:color="C8D4E4" w:sz="1"/>
              <w:left w:val="single" w:color="C8D4E4" w:sz="1"/>
              <w:bottom w:val="single" w:color="C8D4E4" w:sz="1"/>
              <w:right w:val="single" w:color="C8D4E4" w:sz="1"/>
            </w:tcBorders>
            <w:shd w:fill="EEF1F7" w:val="clear"/>
            <w:tcMar>
              <w:top w:type="dxa" w:w="80"/>
              <w:left w:type="dxa" w:w="120"/>
              <w:bottom w:type="dxa" w:w="80"/>
              <w:right w:type="dxa" w:w="120"/>
            </w:tcMar>
          </w:tcPr>
          <w:p>
            <w:r>
              <w:rPr>
                <w:rFonts w:ascii="Arial" w:cs="Arial" w:eastAsia="Arial" w:hAnsi="Arial"/>
                <w:b/>
                <w:bCs/>
                <w:i w:val="false"/>
                <w:iCs w:val="false"/>
                <w:color w:val="1B2A4A"/>
                <w:sz w:val="20"/>
                <w:szCs w:val="20"/>
              </w:rPr>
              <w:t xml:space="preserve">Prepared by</w:t>
            </w:r>
          </w:p>
        </w:tc>
        <w:tc>
          <w:tcPr>
            <w:tcW w:type="dxa" w:w="6746"/>
            <w:tcBorders>
              <w:top w:val="single" w:color="C8D4E4" w:sz="1"/>
              <w:left w:val="single" w:color="C8D4E4" w:sz="1"/>
              <w:bottom w:val="single" w:color="C8D4E4" w:sz="1"/>
              <w:right w:val="single" w:color="C8D4E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kay Shahbaaz — GRC Auditor</w:t>
            </w:r>
          </w:p>
        </w:tc>
      </w:tr>
      <w:tr>
        <w:tc>
          <w:tcPr>
            <w:tcW w:type="dxa" w:w="3000"/>
            <w:tcBorders>
              <w:top w:val="single" w:color="C8D4E4" w:sz="1"/>
              <w:left w:val="single" w:color="C8D4E4" w:sz="1"/>
              <w:bottom w:val="single" w:color="C8D4E4" w:sz="1"/>
              <w:right w:val="single" w:color="C8D4E4" w:sz="1"/>
            </w:tcBorders>
            <w:shd w:fill="EEF1F7" w:val="clear"/>
            <w:tcMar>
              <w:top w:type="dxa" w:w="80"/>
              <w:left w:type="dxa" w:w="120"/>
              <w:bottom w:type="dxa" w:w="80"/>
              <w:right w:type="dxa" w:w="120"/>
            </w:tcMar>
          </w:tcPr>
          <w:p>
            <w:r>
              <w:rPr>
                <w:rFonts w:ascii="Arial" w:cs="Arial" w:eastAsia="Arial" w:hAnsi="Arial"/>
                <w:b/>
                <w:bCs/>
                <w:i w:val="false"/>
                <w:iCs w:val="false"/>
                <w:color w:val="1B2A4A"/>
                <w:sz w:val="20"/>
                <w:szCs w:val="20"/>
              </w:rPr>
              <w:t xml:space="preserve">Reviewed by</w:t>
            </w:r>
          </w:p>
        </w:tc>
        <w:tc>
          <w:tcPr>
            <w:tcW w:type="dxa" w:w="6746"/>
            <w:tcBorders>
              <w:top w:val="single" w:color="C8D4E4" w:sz="1"/>
              <w:left w:val="single" w:color="C8D4E4" w:sz="1"/>
              <w:bottom w:val="single" w:color="C8D4E4" w:sz="1"/>
              <w:right w:val="single" w:color="C8D4E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Resolute Compliance Advisory LLP</w:t>
            </w:r>
          </w:p>
        </w:tc>
      </w:tr>
      <w:tr>
        <w:tc>
          <w:tcPr>
            <w:tcW w:type="dxa" w:w="3000"/>
            <w:tcBorders>
              <w:top w:val="single" w:color="C8D4E4" w:sz="1"/>
              <w:left w:val="single" w:color="C8D4E4" w:sz="1"/>
              <w:bottom w:val="single" w:color="C8D4E4" w:sz="1"/>
              <w:right w:val="single" w:color="C8D4E4" w:sz="1"/>
            </w:tcBorders>
            <w:shd w:fill="EEF1F7" w:val="clear"/>
            <w:tcMar>
              <w:top w:type="dxa" w:w="80"/>
              <w:left w:type="dxa" w:w="120"/>
              <w:bottom w:type="dxa" w:w="80"/>
              <w:right w:type="dxa" w:w="120"/>
            </w:tcMar>
          </w:tcPr>
          <w:p>
            <w:r>
              <w:rPr>
                <w:rFonts w:ascii="Arial" w:cs="Arial" w:eastAsia="Arial" w:hAnsi="Arial"/>
                <w:b/>
                <w:bCs/>
                <w:i w:val="false"/>
                <w:iCs w:val="false"/>
                <w:color w:val="1B2A4A"/>
                <w:sz w:val="20"/>
                <w:szCs w:val="20"/>
              </w:rPr>
              <w:t xml:space="preserve">Audit Period</w:t>
            </w:r>
          </w:p>
        </w:tc>
        <w:tc>
          <w:tcPr>
            <w:tcW w:type="dxa" w:w="6746"/>
            <w:tcBorders>
              <w:top w:val="single" w:color="C8D4E4" w:sz="1"/>
              <w:left w:val="single" w:color="C8D4E4" w:sz="1"/>
              <w:bottom w:val="single" w:color="C8D4E4" w:sz="1"/>
              <w:right w:val="single" w:color="C8D4E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15 July 2024 – 31 October 2024</w:t>
            </w:r>
          </w:p>
        </w:tc>
      </w:tr>
      <w:tr>
        <w:tc>
          <w:tcPr>
            <w:tcW w:type="dxa" w:w="3000"/>
            <w:tcBorders>
              <w:top w:val="single" w:color="C8D4E4" w:sz="1"/>
              <w:left w:val="single" w:color="C8D4E4" w:sz="1"/>
              <w:bottom w:val="single" w:color="C8D4E4" w:sz="1"/>
              <w:right w:val="single" w:color="C8D4E4" w:sz="1"/>
            </w:tcBorders>
            <w:shd w:fill="EEF1F7" w:val="clear"/>
            <w:tcMar>
              <w:top w:type="dxa" w:w="80"/>
              <w:left w:type="dxa" w:w="120"/>
              <w:bottom w:type="dxa" w:w="80"/>
              <w:right w:type="dxa" w:w="120"/>
            </w:tcMar>
          </w:tcPr>
          <w:p>
            <w:r>
              <w:rPr>
                <w:rFonts w:ascii="Arial" w:cs="Arial" w:eastAsia="Arial" w:hAnsi="Arial"/>
                <w:b/>
                <w:bCs/>
                <w:i w:val="false"/>
                <w:iCs w:val="false"/>
                <w:color w:val="1B2A4A"/>
                <w:sz w:val="20"/>
                <w:szCs w:val="20"/>
              </w:rPr>
              <w:t xml:space="preserve">Fieldwork Period</w:t>
            </w:r>
          </w:p>
        </w:tc>
        <w:tc>
          <w:tcPr>
            <w:tcW w:type="dxa" w:w="6746"/>
            <w:tcBorders>
              <w:top w:val="single" w:color="C8D4E4" w:sz="1"/>
              <w:left w:val="single" w:color="C8D4E4" w:sz="1"/>
              <w:bottom w:val="single" w:color="C8D4E4" w:sz="1"/>
              <w:right w:val="single" w:color="C8D4E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29 July 2024 – 07 August 2024</w:t>
            </w:r>
          </w:p>
        </w:tc>
      </w:tr>
      <w:tr>
        <w:tc>
          <w:tcPr>
            <w:tcW w:type="dxa" w:w="3000"/>
            <w:tcBorders>
              <w:top w:val="single" w:color="C8D4E4" w:sz="1"/>
              <w:left w:val="single" w:color="C8D4E4" w:sz="1"/>
              <w:bottom w:val="single" w:color="C8D4E4" w:sz="1"/>
              <w:right w:val="single" w:color="C8D4E4" w:sz="1"/>
            </w:tcBorders>
            <w:shd w:fill="EEF1F7" w:val="clear"/>
            <w:tcMar>
              <w:top w:type="dxa" w:w="80"/>
              <w:left w:type="dxa" w:w="120"/>
              <w:bottom w:type="dxa" w:w="80"/>
              <w:right w:type="dxa" w:w="120"/>
            </w:tcMar>
          </w:tcPr>
          <w:p>
            <w:r>
              <w:rPr>
                <w:rFonts w:ascii="Arial" w:cs="Arial" w:eastAsia="Arial" w:hAnsi="Arial"/>
                <w:b/>
                <w:bCs/>
                <w:i w:val="false"/>
                <w:iCs w:val="false"/>
                <w:color w:val="1B2A4A"/>
                <w:sz w:val="20"/>
                <w:szCs w:val="20"/>
              </w:rPr>
              <w:t xml:space="preserve">Report Date</w:t>
            </w:r>
          </w:p>
        </w:tc>
        <w:tc>
          <w:tcPr>
            <w:tcW w:type="dxa" w:w="6746"/>
            <w:tcBorders>
              <w:top w:val="single" w:color="C8D4E4" w:sz="1"/>
              <w:left w:val="single" w:color="C8D4E4" w:sz="1"/>
              <w:bottom w:val="single" w:color="C8D4E4" w:sz="1"/>
              <w:right w:val="single" w:color="C8D4E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31 October 2024</w:t>
            </w:r>
          </w:p>
        </w:tc>
      </w:tr>
      <w:tr>
        <w:tc>
          <w:tcPr>
            <w:tcW w:type="dxa" w:w="3000"/>
            <w:tcBorders>
              <w:top w:val="single" w:color="C8D4E4" w:sz="1"/>
              <w:left w:val="single" w:color="C8D4E4" w:sz="1"/>
              <w:bottom w:val="single" w:color="C8D4E4" w:sz="1"/>
              <w:right w:val="single" w:color="C8D4E4" w:sz="1"/>
            </w:tcBorders>
            <w:shd w:fill="EEF1F7" w:val="clear"/>
            <w:tcMar>
              <w:top w:type="dxa" w:w="80"/>
              <w:left w:type="dxa" w:w="120"/>
              <w:bottom w:type="dxa" w:w="80"/>
              <w:right w:type="dxa" w:w="120"/>
            </w:tcMar>
          </w:tcPr>
          <w:p>
            <w:r>
              <w:rPr>
                <w:rFonts w:ascii="Arial" w:cs="Arial" w:eastAsia="Arial" w:hAnsi="Arial"/>
                <w:b/>
                <w:bCs/>
                <w:i w:val="false"/>
                <w:iCs w:val="false"/>
                <w:color w:val="1B2A4A"/>
                <w:sz w:val="20"/>
                <w:szCs w:val="20"/>
              </w:rPr>
              <w:t xml:space="preserve">Version</w:t>
            </w:r>
          </w:p>
        </w:tc>
        <w:tc>
          <w:tcPr>
            <w:tcW w:type="dxa" w:w="6746"/>
            <w:tcBorders>
              <w:top w:val="single" w:color="C8D4E4" w:sz="1"/>
              <w:left w:val="single" w:color="C8D4E4" w:sz="1"/>
              <w:bottom w:val="single" w:color="C8D4E4" w:sz="1"/>
              <w:right w:val="single" w:color="C8D4E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v1.0</w:t>
            </w:r>
          </w:p>
        </w:tc>
      </w:tr>
      <w:tr>
        <w:tc>
          <w:tcPr>
            <w:tcW w:type="dxa" w:w="3000"/>
            <w:tcBorders>
              <w:top w:val="single" w:color="C8D4E4" w:sz="1"/>
              <w:left w:val="single" w:color="C8D4E4" w:sz="1"/>
              <w:bottom w:val="single" w:color="C8D4E4" w:sz="1"/>
              <w:right w:val="single" w:color="C8D4E4" w:sz="1"/>
            </w:tcBorders>
            <w:shd w:fill="EEF1F7" w:val="clear"/>
            <w:tcMar>
              <w:top w:type="dxa" w:w="80"/>
              <w:left w:type="dxa" w:w="120"/>
              <w:bottom w:type="dxa" w:w="80"/>
              <w:right w:type="dxa" w:w="120"/>
            </w:tcMar>
          </w:tcPr>
          <w:p>
            <w:r>
              <w:rPr>
                <w:rFonts w:ascii="Arial" w:cs="Arial" w:eastAsia="Arial" w:hAnsi="Arial"/>
                <w:b/>
                <w:bCs/>
                <w:i w:val="false"/>
                <w:iCs w:val="false"/>
                <w:color w:val="1B2A4A"/>
                <w:sz w:val="20"/>
                <w:szCs w:val="20"/>
              </w:rPr>
              <w:t xml:space="preserve">Classification</w:t>
            </w:r>
          </w:p>
        </w:tc>
        <w:tc>
          <w:tcPr>
            <w:tcW w:type="dxa" w:w="6746"/>
            <w:tcBorders>
              <w:top w:val="single" w:color="C8D4E4" w:sz="1"/>
              <w:left w:val="single" w:color="C8D4E4" w:sz="1"/>
              <w:bottom w:val="single" w:color="C8D4E4" w:sz="1"/>
              <w:right w:val="single" w:color="C8D4E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CONFIDENTIAL</w:t>
            </w:r>
          </w:p>
        </w:tc>
      </w:tr>
      <w:tr>
        <w:tc>
          <w:tcPr>
            <w:tcW w:type="dxa" w:w="3000"/>
            <w:tcBorders>
              <w:top w:val="single" w:color="C8D4E4" w:sz="1"/>
              <w:left w:val="single" w:color="C8D4E4" w:sz="1"/>
              <w:bottom w:val="single" w:color="C8D4E4" w:sz="1"/>
              <w:right w:val="single" w:color="C8D4E4" w:sz="1"/>
            </w:tcBorders>
            <w:shd w:fill="EEF1F7" w:val="clear"/>
            <w:tcMar>
              <w:top w:type="dxa" w:w="80"/>
              <w:left w:type="dxa" w:w="120"/>
              <w:bottom w:type="dxa" w:w="80"/>
              <w:right w:type="dxa" w:w="120"/>
            </w:tcMar>
          </w:tcPr>
          <w:p>
            <w:r>
              <w:rPr>
                <w:rFonts w:ascii="Arial" w:cs="Arial" w:eastAsia="Arial" w:hAnsi="Arial"/>
                <w:b/>
                <w:bCs/>
                <w:i w:val="false"/>
                <w:iCs w:val="false"/>
                <w:color w:val="1B2A4A"/>
                <w:sz w:val="20"/>
                <w:szCs w:val="20"/>
              </w:rPr>
              <w:t xml:space="preserve">Status</w:t>
            </w:r>
          </w:p>
        </w:tc>
        <w:tc>
          <w:tcPr>
            <w:tcW w:type="dxa" w:w="6746"/>
            <w:tcBorders>
              <w:top w:val="single" w:color="C8D4E4" w:sz="1"/>
              <w:left w:val="single" w:color="C8D4E4" w:sz="1"/>
              <w:bottom w:val="single" w:color="C8D4E4" w:sz="1"/>
              <w:right w:val="single" w:color="C8D4E4"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Final</w:t>
            </w:r>
          </w:p>
        </w:tc>
      </w:tr>
    </w:tbl>
    <w:p>
      <w:pPr>
        <w:spacing w:after="0" w:before="200"/>
      </w:pPr>
      <w:r>
        <w:t xml:space="preserve"/>
      </w:r>
    </w:p>
    <w:p>
      <w:pPr>
        <w:pStyle w:val="Heading1"/>
        <w:pBdr>
          <w:bottom w:val="single" w:color="C8A951" w:sz="4" w:space="4"/>
        </w:pBdr>
        <w:spacing w:after="160" w:before="320"/>
      </w:pPr>
      <w:r>
        <w:rPr>
          <w:rFonts w:ascii="Arial" w:cs="Arial" w:eastAsia="Arial" w:hAnsi="Arial"/>
          <w:b/>
          <w:bCs/>
          <w:i w:val="false"/>
          <w:iCs w:val="false"/>
          <w:color w:val="1B2A4A"/>
          <w:sz w:val="26"/>
          <w:szCs w:val="26"/>
        </w:rPr>
        <w:t xml:space="preserve">1.  Executive Summary</w:t>
      </w:r>
    </w:p>
    <w:p>
      <w:pPr>
        <w:spacing w:after="120" w:before="80"/>
        <w:jc w:val="both"/>
      </w:pPr>
      <w:r>
        <w:rPr>
          <w:rFonts w:ascii="Arial" w:cs="Arial" w:eastAsia="Arial" w:hAnsi="Arial"/>
          <w:b w:val="false"/>
          <w:bCs w:val="false"/>
          <w:i w:val="false"/>
          <w:iCs w:val="false"/>
          <w:color w:val="1A1A1A"/>
          <w:sz w:val="20"/>
          <w:szCs w:val="20"/>
        </w:rPr>
        <w:t xml:space="preserve">Resolute Compliance Advisory LLP was engaged by Al Ameen Insurance Company to conduct an independent compliance audit against the National Cybersecurity Authority Essential Cybersecurity Controls (NCA ECC-1:2018) and a maturity assessment against the Saudi Arabian Monetary Authority Cybersecurity Framework (SAMA CSF). This report presents the audit findings, risk ratings, and corrective action recommendations arising from fieldwork conducted between 29 July and 07 August 2024.</w:t>
      </w:r>
    </w:p>
    <w:p>
      <w:pPr>
        <w:spacing w:after="120" w:before="80"/>
        <w:jc w:val="both"/>
      </w:pPr>
      <w:r>
        <w:rPr>
          <w:rFonts w:ascii="Arial" w:cs="Arial" w:eastAsia="Arial" w:hAnsi="Arial"/>
          <w:b w:val="false"/>
          <w:bCs w:val="false"/>
          <w:i w:val="false"/>
          <w:iCs w:val="false"/>
          <w:color w:val="1A1A1A"/>
          <w:sz w:val="20"/>
          <w:szCs w:val="20"/>
        </w:rPr>
        <w:t xml:space="preserve">The audit assessed all 114 controls within the five domains of ECC-1:2018 and evaluated the organisation's cybersecurity maturity across the four pillars of the SAMA CSF. The findings reflect a significant gap between Al Ameen Insurance Company's current cybersecurity posture and the requirements of both frameworks.</w:t>
      </w:r>
    </w:p>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single" w:color="C8D4E4" w:sz="1"/>
              <w:left w:val="single" w:color="C8D4E4" w:sz="1"/>
              <w:bottom w:val="single" w:color="C8D4E4" w:sz="1"/>
              <w:right w:val="single" w:color="C8D4E4" w:sz="1"/>
            </w:tcBorders>
            <w:shd w:fill="1B2A4A" w:val="clear"/>
            <w:tcMar>
              <w:top w:type="dxa" w:w="120"/>
              <w:left w:type="dxa" w:w="160"/>
              <w:bottom w:type="dxa" w:w="120"/>
              <w:right w:type="dxa" w:w="160"/>
            </w:tcMar>
          </w:tcPr>
          <w:p>
            <w:pPr>
              <w:jc w:val="center"/>
            </w:pPr>
            <w:r>
              <w:rPr>
                <w:rFonts w:ascii="Arial" w:cs="Arial" w:eastAsia="Arial" w:hAnsi="Arial"/>
                <w:b/>
                <w:bCs/>
                <w:i w:val="false"/>
                <w:iCs w:val="false"/>
                <w:color w:val="C8A951"/>
                <w:sz w:val="18"/>
                <w:szCs w:val="18"/>
              </w:rPr>
              <w:t xml:space="preserve">NCA ECC-1:2018</w:t>
            </w:r>
          </w:p>
          <w:p>
            <w:pPr>
              <w:jc w:val="center"/>
            </w:pPr>
            <w:r>
              <w:rPr>
                <w:rFonts w:ascii="Arial" w:cs="Arial" w:eastAsia="Arial" w:hAnsi="Arial"/>
                <w:b w:val="false"/>
                <w:bCs w:val="false"/>
                <w:i w:val="false"/>
                <w:iCs w:val="false"/>
                <w:color w:val="FFFFFF"/>
                <w:sz w:val="16"/>
                <w:szCs w:val="16"/>
              </w:rPr>
              <w:t xml:space="preserve">Overall Conformance</w:t>
            </w:r>
          </w:p>
          <w:p>
            <w:pPr>
              <w:jc w:val="center"/>
            </w:pPr>
            <w:r>
              <w:rPr>
                <w:rFonts w:ascii="Arial" w:cs="Arial" w:eastAsia="Arial" w:hAnsi="Arial"/>
                <w:b/>
                <w:bCs/>
                <w:i w:val="false"/>
                <w:iCs w:val="false"/>
                <w:color w:val="C00000"/>
                <w:sz w:val="36"/>
                <w:szCs w:val="36"/>
              </w:rPr>
              <w:t xml:space="preserve">29.0%</w:t>
            </w:r>
          </w:p>
          <w:p>
            <w:pPr>
              <w:jc w:val="center"/>
            </w:pPr>
            <w:r>
              <w:rPr>
                <w:rFonts w:ascii="Arial" w:cs="Arial" w:eastAsia="Arial" w:hAnsi="Arial"/>
                <w:b w:val="false"/>
                <w:bCs w:val="false"/>
                <w:i w:val="false"/>
                <w:iCs w:val="false"/>
                <w:color w:val="FFFFFF"/>
                <w:sz w:val="16"/>
                <w:szCs w:val="16"/>
              </w:rPr>
              <w:t xml:space="preserve">33 Conformant  |  48 Partial  |  33 Non-Conformant</w:t>
            </w:r>
          </w:p>
        </w:tc>
        <w:tc>
          <w:tcPr>
            <w:tcW w:type="dxa" w:w="4873"/>
            <w:tcBorders>
              <w:top w:val="single" w:color="C8D4E4" w:sz="1"/>
              <w:left w:val="single" w:color="C8D4E4" w:sz="1"/>
              <w:bottom w:val="single" w:color="C8D4E4" w:sz="1"/>
              <w:right w:val="single" w:color="C8D4E4" w:sz="1"/>
            </w:tcBorders>
            <w:shd w:fill="1B2A4A" w:val="clear"/>
            <w:tcMar>
              <w:top w:type="dxa" w:w="120"/>
              <w:left w:type="dxa" w:w="160"/>
              <w:bottom w:type="dxa" w:w="120"/>
              <w:right w:type="dxa" w:w="160"/>
            </w:tcMar>
          </w:tcPr>
          <w:p>
            <w:pPr>
              <w:jc w:val="center"/>
            </w:pPr>
            <w:r>
              <w:rPr>
                <w:rFonts w:ascii="Arial" w:cs="Arial" w:eastAsia="Arial" w:hAnsi="Arial"/>
                <w:b/>
                <w:bCs/>
                <w:i w:val="false"/>
                <w:iCs w:val="false"/>
                <w:color w:val="C8A951"/>
                <w:sz w:val="18"/>
                <w:szCs w:val="18"/>
              </w:rPr>
              <w:t xml:space="preserve">SAMA CSF</w:t>
            </w:r>
          </w:p>
          <w:p>
            <w:pPr>
              <w:jc w:val="center"/>
            </w:pPr>
            <w:r>
              <w:rPr>
                <w:rFonts w:ascii="Arial" w:cs="Arial" w:eastAsia="Arial" w:hAnsi="Arial"/>
                <w:b w:val="false"/>
                <w:bCs w:val="false"/>
                <w:i w:val="false"/>
                <w:iCs w:val="false"/>
                <w:color w:val="FFFFFF"/>
                <w:sz w:val="16"/>
                <w:szCs w:val="16"/>
              </w:rPr>
              <w:t xml:space="preserve">Overall Maturity Score</w:t>
            </w:r>
          </w:p>
          <w:p>
            <w:pPr>
              <w:jc w:val="center"/>
            </w:pPr>
            <w:r>
              <w:rPr>
                <w:rFonts w:ascii="Arial" w:cs="Arial" w:eastAsia="Arial" w:hAnsi="Arial"/>
                <w:b/>
                <w:bCs/>
                <w:i w:val="false"/>
                <w:iCs w:val="false"/>
                <w:color w:val="C00000"/>
                <w:sz w:val="36"/>
                <w:szCs w:val="36"/>
              </w:rPr>
              <w:t xml:space="preserve">1.6 / 4.0</w:t>
            </w:r>
          </w:p>
          <w:p>
            <w:pPr>
              <w:jc w:val="center"/>
            </w:pPr>
            <w:r>
              <w:rPr>
                <w:rFonts w:ascii="Arial" w:cs="Arial" w:eastAsia="Arial" w:hAnsi="Arial"/>
                <w:b w:val="false"/>
                <w:bCs w:val="false"/>
                <w:i w:val="false"/>
                <w:iCs w:val="false"/>
                <w:color w:val="FFFFFF"/>
                <w:sz w:val="16"/>
                <w:szCs w:val="16"/>
              </w:rPr>
              <w:t xml:space="preserve">Target: 3.0  |  Gap: 1.4</w:t>
            </w:r>
          </w:p>
        </w:tc>
      </w:tr>
    </w:tbl>
    <w:p>
      <w:pPr>
        <w:spacing w:after="0" w:before="160"/>
      </w:pPr>
      <w:r>
        <w:t xml:space="preserve"/>
      </w:r>
    </w:p>
    <w:p>
      <w:pPr>
        <w:spacing w:after="120" w:before="80"/>
        <w:jc w:val="both"/>
      </w:pPr>
      <w:r>
        <w:rPr>
          <w:rFonts w:ascii="Arial" w:cs="Arial" w:eastAsia="Arial" w:hAnsi="Arial"/>
          <w:b w:val="false"/>
          <w:bCs w:val="false"/>
          <w:i w:val="false"/>
          <w:iCs w:val="false"/>
          <w:color w:val="1A1A1A"/>
          <w:sz w:val="20"/>
          <w:szCs w:val="20"/>
        </w:rPr>
        <w:t xml:space="preserve">The audit identified five Critical findings and five High findings. The most severe risk identified — shared administrator credentials on the Oracle Insurance Policy Administration system — represents an active, unmitigated threat requiring immediate remediation independent of any phased corrective action schedule. Cybersecurity governance is absent at a structural level: there is no designated CISO, no approved cybersecurity strategy, and no formal risk assessment process. The organisation has no tested Business Continuity or Disaster Recovery capability, and three vendors with direct system access — Najm, Munich Re, and Swiss Re — operate under contracts that contain no cybersecurity obligations.</w:t>
      </w:r>
    </w:p>
    <w:p>
      <w:pPr>
        <w:spacing w:after="120" w:before="80"/>
        <w:jc w:val="both"/>
      </w:pPr>
      <w:r>
        <w:rPr>
          <w:rFonts w:ascii="Arial" w:cs="Arial" w:eastAsia="Arial" w:hAnsi="Arial"/>
          <w:b w:val="false"/>
          <w:bCs w:val="false"/>
          <w:i w:val="false"/>
          <w:iCs w:val="false"/>
          <w:color w:val="1A1A1A"/>
          <w:sz w:val="20"/>
          <w:szCs w:val="20"/>
        </w:rPr>
        <w:t xml:space="preserve">The overall cybersecurity posture reflects an organisation at an early stage of formalisation. Basic operational controls exist — network perimeter protection, endpoint security, and Microsoft 365 email controls are in place — but governance, risk management, third-party security, and resilience controls are absent or significantly underdeveloped. Achieving SAMA CSF maturity Level 3.0 across all pillars will require a structured, multi-phase remediation programme extending through October 2025.</w:t>
      </w:r>
    </w:p>
    <w:p>
      <w:pPr>
        <w:spacing w:after="0" w:before="120"/>
      </w:pPr>
      <w:r>
        <w:t xml:space="preserve"/>
      </w:r>
    </w:p>
    <w:p>
      <w:pPr>
        <w:pStyle w:val="Heading2"/>
        <w:spacing w:after="120" w:before="240"/>
      </w:pPr>
      <w:r>
        <w:rPr>
          <w:rFonts w:ascii="Arial" w:cs="Arial" w:eastAsia="Arial" w:hAnsi="Arial"/>
          <w:b/>
          <w:bCs/>
          <w:i w:val="false"/>
          <w:iCs w:val="false"/>
          <w:color w:val="1B2A4A"/>
          <w:sz w:val="22"/>
          <w:szCs w:val="22"/>
        </w:rPr>
        <w:t xml:space="preserve">1.1  Findings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5646"/>
        <w:gridCol w:w="2000"/>
        <w:gridCol w:w="1100"/>
      </w:tblGrid>
      <w:tr>
        <w:tc>
          <w:tcPr>
            <w:tcW w:type="dxa" w:w="1000"/>
            <w:tcBorders>
              <w:top w:val="single" w:color="C8D4E4" w:sz="1"/>
              <w:left w:val="single" w:color="C8D4E4" w:sz="1"/>
              <w:bottom w:val="single" w:color="C8D4E4" w:sz="1"/>
              <w:right w:val="single" w:color="C8D4E4" w:sz="1"/>
            </w:tcBorders>
            <w:shd w:fill="1B2A4A" w:val="clear"/>
            <w:tcMar>
              <w:top w:type="dxa" w:w="80"/>
              <w:left w:type="dxa" w:w="100"/>
              <w:bottom w:type="dxa" w:w="80"/>
              <w:right w:type="dxa" w:w="100"/>
            </w:tcMar>
          </w:tcPr>
          <w:p>
            <w:pPr>
              <w:jc w:val="center"/>
            </w:pPr>
            <w:r>
              <w:rPr>
                <w:rFonts w:ascii="Arial" w:cs="Arial" w:eastAsia="Arial" w:hAnsi="Arial"/>
                <w:b/>
                <w:bCs/>
                <w:i w:val="false"/>
                <w:iCs w:val="false"/>
                <w:color w:val="FFFFFF"/>
                <w:sz w:val="19"/>
                <w:szCs w:val="19"/>
              </w:rPr>
              <w:t xml:space="preserve">Ref</w:t>
            </w:r>
          </w:p>
        </w:tc>
        <w:tc>
          <w:tcPr>
            <w:tcW w:type="dxa" w:w="5646"/>
            <w:tcBorders>
              <w:top w:val="single" w:color="C8D4E4" w:sz="1"/>
              <w:left w:val="single" w:color="C8D4E4" w:sz="1"/>
              <w:bottom w:val="single" w:color="C8D4E4" w:sz="1"/>
              <w:right w:val="single" w:color="C8D4E4" w:sz="1"/>
            </w:tcBorders>
            <w:shd w:fill="1B2A4A" w:val="clear"/>
            <w:tcMar>
              <w:top w:type="dxa" w:w="80"/>
              <w:left w:type="dxa" w:w="100"/>
              <w:bottom w:type="dxa" w:w="80"/>
              <w:right w:type="dxa" w:w="100"/>
            </w:tcMar>
          </w:tcPr>
          <w:p>
            <w:pPr>
              <w:jc w:val="center"/>
            </w:pPr>
            <w:r>
              <w:rPr>
                <w:rFonts w:ascii="Arial" w:cs="Arial" w:eastAsia="Arial" w:hAnsi="Arial"/>
                <w:b/>
                <w:bCs/>
                <w:i w:val="false"/>
                <w:iCs w:val="false"/>
                <w:color w:val="FFFFFF"/>
                <w:sz w:val="19"/>
                <w:szCs w:val="19"/>
              </w:rPr>
              <w:t xml:space="preserve">Finding</w:t>
            </w:r>
          </w:p>
        </w:tc>
        <w:tc>
          <w:tcPr>
            <w:tcW w:type="dxa" w:w="2000"/>
            <w:tcBorders>
              <w:top w:val="single" w:color="C8D4E4" w:sz="1"/>
              <w:left w:val="single" w:color="C8D4E4" w:sz="1"/>
              <w:bottom w:val="single" w:color="C8D4E4" w:sz="1"/>
              <w:right w:val="single" w:color="C8D4E4" w:sz="1"/>
            </w:tcBorders>
            <w:shd w:fill="1B2A4A" w:val="clear"/>
            <w:tcMar>
              <w:top w:type="dxa" w:w="80"/>
              <w:left w:type="dxa" w:w="100"/>
              <w:bottom w:type="dxa" w:w="80"/>
              <w:right w:type="dxa" w:w="100"/>
            </w:tcMar>
          </w:tcPr>
          <w:p>
            <w:pPr>
              <w:jc w:val="center"/>
            </w:pPr>
            <w:r>
              <w:rPr>
                <w:rFonts w:ascii="Arial" w:cs="Arial" w:eastAsia="Arial" w:hAnsi="Arial"/>
                <w:b/>
                <w:bCs/>
                <w:i w:val="false"/>
                <w:iCs w:val="false"/>
                <w:color w:val="FFFFFF"/>
                <w:sz w:val="19"/>
                <w:szCs w:val="19"/>
              </w:rPr>
              <w:t xml:space="preserve">Domain</w:t>
            </w:r>
          </w:p>
        </w:tc>
        <w:tc>
          <w:tcPr>
            <w:tcW w:type="dxa" w:w="1100"/>
            <w:tcBorders>
              <w:top w:val="single" w:color="C8D4E4" w:sz="1"/>
              <w:left w:val="single" w:color="C8D4E4" w:sz="1"/>
              <w:bottom w:val="single" w:color="C8D4E4" w:sz="1"/>
              <w:right w:val="single" w:color="C8D4E4" w:sz="1"/>
            </w:tcBorders>
            <w:shd w:fill="1B2A4A" w:val="clear"/>
            <w:tcMar>
              <w:top w:type="dxa" w:w="80"/>
              <w:left w:type="dxa" w:w="100"/>
              <w:bottom w:type="dxa" w:w="80"/>
              <w:right w:type="dxa" w:w="100"/>
            </w:tcMar>
          </w:tcPr>
          <w:p>
            <w:pPr>
              <w:jc w:val="center"/>
            </w:pPr>
            <w:r>
              <w:rPr>
                <w:rFonts w:ascii="Arial" w:cs="Arial" w:eastAsia="Arial" w:hAnsi="Arial"/>
                <w:b/>
                <w:bCs/>
                <w:i w:val="false"/>
                <w:iCs w:val="false"/>
                <w:color w:val="FFFFFF"/>
                <w:sz w:val="19"/>
                <w:szCs w:val="19"/>
              </w:rPr>
              <w:t xml:space="preserve">Rating</w:t>
            </w:r>
          </w:p>
        </w:tc>
      </w:tr>
      <w:tr>
        <w:tc>
          <w:tcPr>
            <w:tcW w:type="dxa" w:w="1000"/>
            <w:tcBorders>
              <w:top w:val="single" w:color="C8D4E4" w:sz="1"/>
              <w:left w:val="single" w:color="C8D4E4" w:sz="1"/>
              <w:bottom w:val="single" w:color="C8D4E4" w:sz="1"/>
              <w:right w:val="single" w:color="C8D4E4" w:sz="1"/>
            </w:tcBorders>
            <w:shd w:fill="EEF1F7" w:val="clear"/>
            <w:tcMar>
              <w:top w:type="dxa" w:w="60"/>
              <w:left w:type="dxa" w:w="100"/>
              <w:bottom w:type="dxa" w:w="60"/>
              <w:right w:type="dxa" w:w="100"/>
            </w:tcMar>
          </w:tcPr>
          <w:p>
            <w:pPr>
              <w:jc w:val="center"/>
            </w:pPr>
            <w:r>
              <w:rPr>
                <w:rFonts w:ascii="Arial" w:cs="Arial" w:eastAsia="Arial" w:hAnsi="Arial"/>
                <w:b/>
                <w:bCs/>
                <w:i w:val="false"/>
                <w:iCs w:val="false"/>
                <w:color w:val="1B2A4A"/>
                <w:sz w:val="18"/>
                <w:szCs w:val="18"/>
              </w:rPr>
              <w:t xml:space="preserve">F-001</w:t>
            </w:r>
          </w:p>
        </w:tc>
        <w:tc>
          <w:tcPr>
            <w:tcW w:type="dxa" w:w="5646"/>
            <w:tcBorders>
              <w:top w:val="single" w:color="C8D4E4" w:sz="1"/>
              <w:left w:val="single" w:color="C8D4E4" w:sz="1"/>
              <w:bottom w:val="single" w:color="C8D4E4" w:sz="1"/>
              <w:right w:val="single" w:color="C8D4E4" w:sz="1"/>
            </w:tcBorders>
            <w:shd w:fill="EEF1F7" w:val="clear"/>
            <w:tcMar>
              <w:top w:type="dxa" w:w="60"/>
              <w:left w:type="dxa" w:w="100"/>
              <w:bottom w:type="dxa" w:w="60"/>
              <w:right w:type="dxa" w:w="100"/>
            </w:tcMar>
          </w:tcPr>
          <w:p>
            <w:r>
              <w:rPr>
                <w:rFonts w:ascii="Arial" w:cs="Arial" w:eastAsia="Arial" w:hAnsi="Arial"/>
                <w:b w:val="false"/>
                <w:bCs w:val="false"/>
                <w:i w:val="false"/>
                <w:iCs w:val="false"/>
                <w:color w:val="1A1A1A"/>
                <w:sz w:val="18"/>
                <w:szCs w:val="18"/>
              </w:rPr>
              <w:t xml:space="preserve">No Cybersecurity Strategy or Governance Structure</w:t>
            </w:r>
          </w:p>
        </w:tc>
        <w:tc>
          <w:tcPr>
            <w:tcW w:type="dxa" w:w="2000"/>
            <w:tcBorders>
              <w:top w:val="single" w:color="C8D4E4" w:sz="1"/>
              <w:left w:val="single" w:color="C8D4E4" w:sz="1"/>
              <w:bottom w:val="single" w:color="C8D4E4" w:sz="1"/>
              <w:right w:val="single" w:color="C8D4E4" w:sz="1"/>
            </w:tcBorders>
            <w:shd w:fill="EEF1F7" w:val="clear"/>
            <w:tcMar>
              <w:top w:type="dxa" w:w="60"/>
              <w:left w:type="dxa" w:w="100"/>
              <w:bottom w:type="dxa" w:w="60"/>
              <w:right w:type="dxa" w:w="100"/>
            </w:tcMar>
          </w:tcPr>
          <w:p>
            <w:r>
              <w:rPr>
                <w:rFonts w:ascii="Arial" w:cs="Arial" w:eastAsia="Arial" w:hAnsi="Arial"/>
                <w:b w:val="false"/>
                <w:bCs w:val="false"/>
                <w:i w:val="false"/>
                <w:iCs w:val="false"/>
                <w:color w:val="1A1A1A"/>
                <w:sz w:val="18"/>
                <w:szCs w:val="18"/>
              </w:rPr>
              <w:t xml:space="preserve">Domain 1 — Governance</w:t>
            </w:r>
          </w:p>
        </w:tc>
        <w:tc>
          <w:tcPr>
            <w:tcW w:type="dxa" w:w="1100"/>
            <w:tcBorders>
              <w:top w:val="single" w:color="C8D4E4" w:sz="1"/>
              <w:left w:val="single" w:color="C8D4E4" w:sz="1"/>
              <w:bottom w:val="single" w:color="C8D4E4" w:sz="1"/>
              <w:right w:val="single" w:color="C8D4E4" w:sz="1"/>
            </w:tcBorders>
            <w:shd w:fill="FCE4D6" w:val="clear"/>
            <w:tcMar>
              <w:top w:type="dxa" w:w="60"/>
              <w:left w:type="dxa" w:w="100"/>
              <w:bottom w:type="dxa" w:w="60"/>
              <w:right w:type="dxa" w:w="100"/>
            </w:tcMar>
          </w:tcPr>
          <w:p>
            <w:pPr>
              <w:jc w:val="center"/>
            </w:pPr>
            <w:r>
              <w:rPr>
                <w:rFonts w:ascii="Arial" w:cs="Arial" w:eastAsia="Arial" w:hAnsi="Arial"/>
                <w:b/>
                <w:bCs/>
                <w:i w:val="false"/>
                <w:iCs w:val="false"/>
                <w:color w:val="C00000"/>
                <w:sz w:val="18"/>
                <w:szCs w:val="18"/>
              </w:rPr>
              <w:t xml:space="preserve">Critical</w:t>
            </w:r>
          </w:p>
        </w:tc>
      </w:tr>
      <w:tr>
        <w:tc>
          <w:tcPr>
            <w:tcW w:type="dxa" w:w="1000"/>
            <w:tcBorders>
              <w:top w:val="single" w:color="C8D4E4" w:sz="1"/>
              <w:left w:val="single" w:color="C8D4E4" w:sz="1"/>
              <w:bottom w:val="single" w:color="C8D4E4" w:sz="1"/>
              <w:right w:val="single" w:color="C8D4E4"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B2A4A"/>
                <w:sz w:val="18"/>
                <w:szCs w:val="18"/>
              </w:rPr>
              <w:t xml:space="preserve">F-002</w:t>
            </w:r>
          </w:p>
        </w:tc>
        <w:tc>
          <w:tcPr>
            <w:tcW w:type="dxa" w:w="5646"/>
            <w:tcBorders>
              <w:top w:val="single" w:color="C8D4E4" w:sz="1"/>
              <w:left w:val="single" w:color="C8D4E4" w:sz="1"/>
              <w:bottom w:val="single" w:color="C8D4E4" w:sz="1"/>
              <w:right w:val="single" w:color="C8D4E4"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1A"/>
                <w:sz w:val="18"/>
                <w:szCs w:val="18"/>
              </w:rPr>
              <w:t xml:space="preserve">No Designated CISO or Cybersecurity Accountability</w:t>
            </w:r>
          </w:p>
        </w:tc>
        <w:tc>
          <w:tcPr>
            <w:tcW w:type="dxa" w:w="2000"/>
            <w:tcBorders>
              <w:top w:val="single" w:color="C8D4E4" w:sz="1"/>
              <w:left w:val="single" w:color="C8D4E4" w:sz="1"/>
              <w:bottom w:val="single" w:color="C8D4E4" w:sz="1"/>
              <w:right w:val="single" w:color="C8D4E4"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1A"/>
                <w:sz w:val="18"/>
                <w:szCs w:val="18"/>
              </w:rPr>
              <w:t xml:space="preserve">Domain 1 — Governance</w:t>
            </w:r>
          </w:p>
        </w:tc>
        <w:tc>
          <w:tcPr>
            <w:tcW w:type="dxa" w:w="1100"/>
            <w:tcBorders>
              <w:top w:val="single" w:color="C8D4E4" w:sz="1"/>
              <w:left w:val="single" w:color="C8D4E4" w:sz="1"/>
              <w:bottom w:val="single" w:color="C8D4E4" w:sz="1"/>
              <w:right w:val="single" w:color="C8D4E4" w:sz="1"/>
            </w:tcBorders>
            <w:shd w:fill="FCE4D6" w:val="clear"/>
            <w:tcMar>
              <w:top w:type="dxa" w:w="60"/>
              <w:left w:type="dxa" w:w="100"/>
              <w:bottom w:type="dxa" w:w="60"/>
              <w:right w:type="dxa" w:w="100"/>
            </w:tcMar>
          </w:tcPr>
          <w:p>
            <w:pPr>
              <w:jc w:val="center"/>
            </w:pPr>
            <w:r>
              <w:rPr>
                <w:rFonts w:ascii="Arial" w:cs="Arial" w:eastAsia="Arial" w:hAnsi="Arial"/>
                <w:b/>
                <w:bCs/>
                <w:i w:val="false"/>
                <w:iCs w:val="false"/>
                <w:color w:val="C00000"/>
                <w:sz w:val="18"/>
                <w:szCs w:val="18"/>
              </w:rPr>
              <w:t xml:space="preserve">Critical</w:t>
            </w:r>
          </w:p>
        </w:tc>
      </w:tr>
      <w:tr>
        <w:tc>
          <w:tcPr>
            <w:tcW w:type="dxa" w:w="1000"/>
            <w:tcBorders>
              <w:top w:val="single" w:color="C8D4E4" w:sz="1"/>
              <w:left w:val="single" w:color="C8D4E4" w:sz="1"/>
              <w:bottom w:val="single" w:color="C8D4E4" w:sz="1"/>
              <w:right w:val="single" w:color="C8D4E4" w:sz="1"/>
            </w:tcBorders>
            <w:shd w:fill="EEF1F7" w:val="clear"/>
            <w:tcMar>
              <w:top w:type="dxa" w:w="60"/>
              <w:left w:type="dxa" w:w="100"/>
              <w:bottom w:type="dxa" w:w="60"/>
              <w:right w:type="dxa" w:w="100"/>
            </w:tcMar>
          </w:tcPr>
          <w:p>
            <w:pPr>
              <w:jc w:val="center"/>
            </w:pPr>
            <w:r>
              <w:rPr>
                <w:rFonts w:ascii="Arial" w:cs="Arial" w:eastAsia="Arial" w:hAnsi="Arial"/>
                <w:b/>
                <w:bCs/>
                <w:i w:val="false"/>
                <w:iCs w:val="false"/>
                <w:color w:val="1B2A4A"/>
                <w:sz w:val="18"/>
                <w:szCs w:val="18"/>
              </w:rPr>
              <w:t xml:space="preserve">F-003</w:t>
            </w:r>
          </w:p>
        </w:tc>
        <w:tc>
          <w:tcPr>
            <w:tcW w:type="dxa" w:w="5646"/>
            <w:tcBorders>
              <w:top w:val="single" w:color="C8D4E4" w:sz="1"/>
              <w:left w:val="single" w:color="C8D4E4" w:sz="1"/>
              <w:bottom w:val="single" w:color="C8D4E4" w:sz="1"/>
              <w:right w:val="single" w:color="C8D4E4" w:sz="1"/>
            </w:tcBorders>
            <w:shd w:fill="EEF1F7" w:val="clear"/>
            <w:tcMar>
              <w:top w:type="dxa" w:w="60"/>
              <w:left w:type="dxa" w:w="100"/>
              <w:bottom w:type="dxa" w:w="60"/>
              <w:right w:type="dxa" w:w="100"/>
            </w:tcMar>
          </w:tcPr>
          <w:p>
            <w:r>
              <w:rPr>
                <w:rFonts w:ascii="Arial" w:cs="Arial" w:eastAsia="Arial" w:hAnsi="Arial"/>
                <w:b w:val="false"/>
                <w:bCs w:val="false"/>
                <w:i w:val="false"/>
                <w:iCs w:val="false"/>
                <w:color w:val="1A1A1A"/>
                <w:sz w:val="18"/>
                <w:szCs w:val="18"/>
              </w:rPr>
              <w:t xml:space="preserve">No Formal Cyber Risk Assessment Process</w:t>
            </w:r>
          </w:p>
        </w:tc>
        <w:tc>
          <w:tcPr>
            <w:tcW w:type="dxa" w:w="2000"/>
            <w:tcBorders>
              <w:top w:val="single" w:color="C8D4E4" w:sz="1"/>
              <w:left w:val="single" w:color="C8D4E4" w:sz="1"/>
              <w:bottom w:val="single" w:color="C8D4E4" w:sz="1"/>
              <w:right w:val="single" w:color="C8D4E4" w:sz="1"/>
            </w:tcBorders>
            <w:shd w:fill="EEF1F7" w:val="clear"/>
            <w:tcMar>
              <w:top w:type="dxa" w:w="60"/>
              <w:left w:type="dxa" w:w="100"/>
              <w:bottom w:type="dxa" w:w="60"/>
              <w:right w:type="dxa" w:w="100"/>
            </w:tcMar>
          </w:tcPr>
          <w:p>
            <w:r>
              <w:rPr>
                <w:rFonts w:ascii="Arial" w:cs="Arial" w:eastAsia="Arial" w:hAnsi="Arial"/>
                <w:b w:val="false"/>
                <w:bCs w:val="false"/>
                <w:i w:val="false"/>
                <w:iCs w:val="false"/>
                <w:color w:val="1A1A1A"/>
                <w:sz w:val="18"/>
                <w:szCs w:val="18"/>
              </w:rPr>
              <w:t xml:space="preserve">Domain 2 — Risk Management</w:t>
            </w:r>
          </w:p>
        </w:tc>
        <w:tc>
          <w:tcPr>
            <w:tcW w:type="dxa" w:w="1100"/>
            <w:tcBorders>
              <w:top w:val="single" w:color="C8D4E4" w:sz="1"/>
              <w:left w:val="single" w:color="C8D4E4" w:sz="1"/>
              <w:bottom w:val="single" w:color="C8D4E4" w:sz="1"/>
              <w:right w:val="single" w:color="C8D4E4" w:sz="1"/>
            </w:tcBorders>
            <w:shd w:fill="FCE4D6" w:val="clear"/>
            <w:tcMar>
              <w:top w:type="dxa" w:w="60"/>
              <w:left w:type="dxa" w:w="100"/>
              <w:bottom w:type="dxa" w:w="60"/>
              <w:right w:type="dxa" w:w="100"/>
            </w:tcMar>
          </w:tcPr>
          <w:p>
            <w:pPr>
              <w:jc w:val="center"/>
            </w:pPr>
            <w:r>
              <w:rPr>
                <w:rFonts w:ascii="Arial" w:cs="Arial" w:eastAsia="Arial" w:hAnsi="Arial"/>
                <w:b/>
                <w:bCs/>
                <w:i w:val="false"/>
                <w:iCs w:val="false"/>
                <w:color w:val="C00000"/>
                <w:sz w:val="18"/>
                <w:szCs w:val="18"/>
              </w:rPr>
              <w:t xml:space="preserve">Critical</w:t>
            </w:r>
          </w:p>
        </w:tc>
      </w:tr>
      <w:tr>
        <w:tc>
          <w:tcPr>
            <w:tcW w:type="dxa" w:w="1000"/>
            <w:tcBorders>
              <w:top w:val="single" w:color="C8D4E4" w:sz="1"/>
              <w:left w:val="single" w:color="C8D4E4" w:sz="1"/>
              <w:bottom w:val="single" w:color="C8D4E4" w:sz="1"/>
              <w:right w:val="single" w:color="C8D4E4"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B2A4A"/>
                <w:sz w:val="18"/>
                <w:szCs w:val="18"/>
              </w:rPr>
              <w:t xml:space="preserve">F-004</w:t>
            </w:r>
          </w:p>
        </w:tc>
        <w:tc>
          <w:tcPr>
            <w:tcW w:type="dxa" w:w="5646"/>
            <w:tcBorders>
              <w:top w:val="single" w:color="C8D4E4" w:sz="1"/>
              <w:left w:val="single" w:color="C8D4E4" w:sz="1"/>
              <w:bottom w:val="single" w:color="C8D4E4" w:sz="1"/>
              <w:right w:val="single" w:color="C8D4E4"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1A"/>
                <w:sz w:val="18"/>
                <w:szCs w:val="18"/>
              </w:rPr>
              <w:t xml:space="preserve">No Third-Party Cybersecurity Requirements in Vendor Contracts</w:t>
            </w:r>
          </w:p>
        </w:tc>
        <w:tc>
          <w:tcPr>
            <w:tcW w:type="dxa" w:w="2000"/>
            <w:tcBorders>
              <w:top w:val="single" w:color="C8D4E4" w:sz="1"/>
              <w:left w:val="single" w:color="C8D4E4" w:sz="1"/>
              <w:bottom w:val="single" w:color="C8D4E4" w:sz="1"/>
              <w:right w:val="single" w:color="C8D4E4"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1A"/>
                <w:sz w:val="18"/>
                <w:szCs w:val="18"/>
              </w:rPr>
              <w:t xml:space="preserve">Domain 4 — Third-Party</w:t>
            </w:r>
          </w:p>
        </w:tc>
        <w:tc>
          <w:tcPr>
            <w:tcW w:type="dxa" w:w="1100"/>
            <w:tcBorders>
              <w:top w:val="single" w:color="C8D4E4" w:sz="1"/>
              <w:left w:val="single" w:color="C8D4E4" w:sz="1"/>
              <w:bottom w:val="single" w:color="C8D4E4" w:sz="1"/>
              <w:right w:val="single" w:color="C8D4E4" w:sz="1"/>
            </w:tcBorders>
            <w:shd w:fill="FCE4D6" w:val="clear"/>
            <w:tcMar>
              <w:top w:type="dxa" w:w="60"/>
              <w:left w:type="dxa" w:w="100"/>
              <w:bottom w:type="dxa" w:w="60"/>
              <w:right w:type="dxa" w:w="100"/>
            </w:tcMar>
          </w:tcPr>
          <w:p>
            <w:pPr>
              <w:jc w:val="center"/>
            </w:pPr>
            <w:r>
              <w:rPr>
                <w:rFonts w:ascii="Arial" w:cs="Arial" w:eastAsia="Arial" w:hAnsi="Arial"/>
                <w:b/>
                <w:bCs/>
                <w:i w:val="false"/>
                <w:iCs w:val="false"/>
                <w:color w:val="C00000"/>
                <w:sz w:val="18"/>
                <w:szCs w:val="18"/>
              </w:rPr>
              <w:t xml:space="preserve">Critical</w:t>
            </w:r>
          </w:p>
        </w:tc>
      </w:tr>
      <w:tr>
        <w:tc>
          <w:tcPr>
            <w:tcW w:type="dxa" w:w="1000"/>
            <w:tcBorders>
              <w:top w:val="single" w:color="C8D4E4" w:sz="1"/>
              <w:left w:val="single" w:color="C8D4E4" w:sz="1"/>
              <w:bottom w:val="single" w:color="C8D4E4" w:sz="1"/>
              <w:right w:val="single" w:color="C8D4E4" w:sz="1"/>
            </w:tcBorders>
            <w:shd w:fill="EEF1F7" w:val="clear"/>
            <w:tcMar>
              <w:top w:type="dxa" w:w="60"/>
              <w:left w:type="dxa" w:w="100"/>
              <w:bottom w:type="dxa" w:w="60"/>
              <w:right w:type="dxa" w:w="100"/>
            </w:tcMar>
          </w:tcPr>
          <w:p>
            <w:pPr>
              <w:jc w:val="center"/>
            </w:pPr>
            <w:r>
              <w:rPr>
                <w:rFonts w:ascii="Arial" w:cs="Arial" w:eastAsia="Arial" w:hAnsi="Arial"/>
                <w:b/>
                <w:bCs/>
                <w:i w:val="false"/>
                <w:iCs w:val="false"/>
                <w:color w:val="1B2A4A"/>
                <w:sz w:val="18"/>
                <w:szCs w:val="18"/>
              </w:rPr>
              <w:t xml:space="preserve">F-005</w:t>
            </w:r>
          </w:p>
        </w:tc>
        <w:tc>
          <w:tcPr>
            <w:tcW w:type="dxa" w:w="5646"/>
            <w:tcBorders>
              <w:top w:val="single" w:color="C8D4E4" w:sz="1"/>
              <w:left w:val="single" w:color="C8D4E4" w:sz="1"/>
              <w:bottom w:val="single" w:color="C8D4E4" w:sz="1"/>
              <w:right w:val="single" w:color="C8D4E4" w:sz="1"/>
            </w:tcBorders>
            <w:shd w:fill="EEF1F7" w:val="clear"/>
            <w:tcMar>
              <w:top w:type="dxa" w:w="60"/>
              <w:left w:type="dxa" w:w="100"/>
              <w:bottom w:type="dxa" w:w="60"/>
              <w:right w:type="dxa" w:w="100"/>
            </w:tcMar>
          </w:tcPr>
          <w:p>
            <w:r>
              <w:rPr>
                <w:rFonts w:ascii="Arial" w:cs="Arial" w:eastAsia="Arial" w:hAnsi="Arial"/>
                <w:b w:val="false"/>
                <w:bCs w:val="false"/>
                <w:i w:val="false"/>
                <w:iCs w:val="false"/>
                <w:color w:val="1A1A1A"/>
                <w:sz w:val="18"/>
                <w:szCs w:val="18"/>
              </w:rPr>
              <w:t xml:space="preserve">No Business Continuity or Disaster Recovery Plan</w:t>
            </w:r>
          </w:p>
        </w:tc>
        <w:tc>
          <w:tcPr>
            <w:tcW w:type="dxa" w:w="2000"/>
            <w:tcBorders>
              <w:top w:val="single" w:color="C8D4E4" w:sz="1"/>
              <w:left w:val="single" w:color="C8D4E4" w:sz="1"/>
              <w:bottom w:val="single" w:color="C8D4E4" w:sz="1"/>
              <w:right w:val="single" w:color="C8D4E4" w:sz="1"/>
            </w:tcBorders>
            <w:shd w:fill="EEF1F7" w:val="clear"/>
            <w:tcMar>
              <w:top w:type="dxa" w:w="60"/>
              <w:left w:type="dxa" w:w="100"/>
              <w:bottom w:type="dxa" w:w="60"/>
              <w:right w:type="dxa" w:w="100"/>
            </w:tcMar>
          </w:tcPr>
          <w:p>
            <w:r>
              <w:rPr>
                <w:rFonts w:ascii="Arial" w:cs="Arial" w:eastAsia="Arial" w:hAnsi="Arial"/>
                <w:b w:val="false"/>
                <w:bCs w:val="false"/>
                <w:i w:val="false"/>
                <w:iCs w:val="false"/>
                <w:color w:val="1A1A1A"/>
                <w:sz w:val="18"/>
                <w:szCs w:val="18"/>
              </w:rPr>
              <w:t xml:space="preserve">Domain 5 — Resilience</w:t>
            </w:r>
          </w:p>
        </w:tc>
        <w:tc>
          <w:tcPr>
            <w:tcW w:type="dxa" w:w="1100"/>
            <w:tcBorders>
              <w:top w:val="single" w:color="C8D4E4" w:sz="1"/>
              <w:left w:val="single" w:color="C8D4E4" w:sz="1"/>
              <w:bottom w:val="single" w:color="C8D4E4" w:sz="1"/>
              <w:right w:val="single" w:color="C8D4E4" w:sz="1"/>
            </w:tcBorders>
            <w:shd w:fill="FCE4D6" w:val="clear"/>
            <w:tcMar>
              <w:top w:type="dxa" w:w="60"/>
              <w:left w:type="dxa" w:w="100"/>
              <w:bottom w:type="dxa" w:w="60"/>
              <w:right w:type="dxa" w:w="100"/>
            </w:tcMar>
          </w:tcPr>
          <w:p>
            <w:pPr>
              <w:jc w:val="center"/>
            </w:pPr>
            <w:r>
              <w:rPr>
                <w:rFonts w:ascii="Arial" w:cs="Arial" w:eastAsia="Arial" w:hAnsi="Arial"/>
                <w:b/>
                <w:bCs/>
                <w:i w:val="false"/>
                <w:iCs w:val="false"/>
                <w:color w:val="C00000"/>
                <w:sz w:val="18"/>
                <w:szCs w:val="18"/>
              </w:rPr>
              <w:t xml:space="preserve">Critical</w:t>
            </w:r>
          </w:p>
        </w:tc>
      </w:tr>
      <w:tr>
        <w:tc>
          <w:tcPr>
            <w:tcW w:type="dxa" w:w="1000"/>
            <w:tcBorders>
              <w:top w:val="single" w:color="C8D4E4" w:sz="1"/>
              <w:left w:val="single" w:color="C8D4E4" w:sz="1"/>
              <w:bottom w:val="single" w:color="C8D4E4" w:sz="1"/>
              <w:right w:val="single" w:color="C8D4E4"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B2A4A"/>
                <w:sz w:val="18"/>
                <w:szCs w:val="18"/>
              </w:rPr>
              <w:t xml:space="preserve">F-006</w:t>
            </w:r>
          </w:p>
        </w:tc>
        <w:tc>
          <w:tcPr>
            <w:tcW w:type="dxa" w:w="5646"/>
            <w:tcBorders>
              <w:top w:val="single" w:color="C8D4E4" w:sz="1"/>
              <w:left w:val="single" w:color="C8D4E4" w:sz="1"/>
              <w:bottom w:val="single" w:color="C8D4E4" w:sz="1"/>
              <w:right w:val="single" w:color="C8D4E4"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1A"/>
                <w:sz w:val="18"/>
                <w:szCs w:val="18"/>
              </w:rPr>
              <w:t xml:space="preserve">No Security Awareness Training Programme</w:t>
            </w:r>
          </w:p>
        </w:tc>
        <w:tc>
          <w:tcPr>
            <w:tcW w:type="dxa" w:w="2000"/>
            <w:tcBorders>
              <w:top w:val="single" w:color="C8D4E4" w:sz="1"/>
              <w:left w:val="single" w:color="C8D4E4" w:sz="1"/>
              <w:bottom w:val="single" w:color="C8D4E4" w:sz="1"/>
              <w:right w:val="single" w:color="C8D4E4"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1A"/>
                <w:sz w:val="18"/>
                <w:szCs w:val="18"/>
              </w:rPr>
              <w:t xml:space="preserve">Domain 1 — Governance</w:t>
            </w:r>
          </w:p>
        </w:tc>
        <w:tc>
          <w:tcPr>
            <w:tcW w:type="dxa" w:w="1100"/>
            <w:tcBorders>
              <w:top w:val="single" w:color="C8D4E4" w:sz="1"/>
              <w:left w:val="single" w:color="C8D4E4" w:sz="1"/>
              <w:bottom w:val="single" w:color="C8D4E4" w:sz="1"/>
              <w:right w:val="single" w:color="C8D4E4" w:sz="1"/>
            </w:tcBorders>
            <w:shd w:fill="FFF2CC" w:val="clear"/>
            <w:tcMar>
              <w:top w:type="dxa" w:w="60"/>
              <w:left w:type="dxa" w:w="100"/>
              <w:bottom w:type="dxa" w:w="60"/>
              <w:right w:type="dxa" w:w="100"/>
            </w:tcMar>
          </w:tcPr>
          <w:p>
            <w:pPr>
              <w:jc w:val="center"/>
            </w:pPr>
            <w:r>
              <w:rPr>
                <w:rFonts w:ascii="Arial" w:cs="Arial" w:eastAsia="Arial" w:hAnsi="Arial"/>
                <w:b/>
                <w:bCs/>
                <w:i w:val="false"/>
                <w:iCs w:val="false"/>
                <w:color w:val="B8860B"/>
                <w:sz w:val="18"/>
                <w:szCs w:val="18"/>
              </w:rPr>
              <w:t xml:space="preserve">High</w:t>
            </w:r>
          </w:p>
        </w:tc>
      </w:tr>
      <w:tr>
        <w:tc>
          <w:tcPr>
            <w:tcW w:type="dxa" w:w="1000"/>
            <w:tcBorders>
              <w:top w:val="single" w:color="C8D4E4" w:sz="1"/>
              <w:left w:val="single" w:color="C8D4E4" w:sz="1"/>
              <w:bottom w:val="single" w:color="C8D4E4" w:sz="1"/>
              <w:right w:val="single" w:color="C8D4E4" w:sz="1"/>
            </w:tcBorders>
            <w:shd w:fill="EEF1F7" w:val="clear"/>
            <w:tcMar>
              <w:top w:type="dxa" w:w="60"/>
              <w:left w:type="dxa" w:w="100"/>
              <w:bottom w:type="dxa" w:w="60"/>
              <w:right w:type="dxa" w:w="100"/>
            </w:tcMar>
          </w:tcPr>
          <w:p>
            <w:pPr>
              <w:jc w:val="center"/>
            </w:pPr>
            <w:r>
              <w:rPr>
                <w:rFonts w:ascii="Arial" w:cs="Arial" w:eastAsia="Arial" w:hAnsi="Arial"/>
                <w:b/>
                <w:bCs/>
                <w:i w:val="false"/>
                <w:iCs w:val="false"/>
                <w:color w:val="1B2A4A"/>
                <w:sz w:val="18"/>
                <w:szCs w:val="18"/>
              </w:rPr>
              <w:t xml:space="preserve">F-007</w:t>
            </w:r>
          </w:p>
        </w:tc>
        <w:tc>
          <w:tcPr>
            <w:tcW w:type="dxa" w:w="5646"/>
            <w:tcBorders>
              <w:top w:val="single" w:color="C8D4E4" w:sz="1"/>
              <w:left w:val="single" w:color="C8D4E4" w:sz="1"/>
              <w:bottom w:val="single" w:color="C8D4E4" w:sz="1"/>
              <w:right w:val="single" w:color="C8D4E4" w:sz="1"/>
            </w:tcBorders>
            <w:shd w:fill="EEF1F7" w:val="clear"/>
            <w:tcMar>
              <w:top w:type="dxa" w:w="60"/>
              <w:left w:type="dxa" w:w="100"/>
              <w:bottom w:type="dxa" w:w="60"/>
              <w:right w:type="dxa" w:w="100"/>
            </w:tcMar>
          </w:tcPr>
          <w:p>
            <w:r>
              <w:rPr>
                <w:rFonts w:ascii="Arial" w:cs="Arial" w:eastAsia="Arial" w:hAnsi="Arial"/>
                <w:b w:val="false"/>
                <w:bCs w:val="false"/>
                <w:i w:val="false"/>
                <w:iCs w:val="false"/>
                <w:color w:val="1A1A1A"/>
                <w:sz w:val="18"/>
                <w:szCs w:val="18"/>
              </w:rPr>
              <w:t xml:space="preserve">Shared Privileged Credentials on Oracle Insurance — Live Risk</w:t>
            </w:r>
          </w:p>
        </w:tc>
        <w:tc>
          <w:tcPr>
            <w:tcW w:type="dxa" w:w="2000"/>
            <w:tcBorders>
              <w:top w:val="single" w:color="C8D4E4" w:sz="1"/>
              <w:left w:val="single" w:color="C8D4E4" w:sz="1"/>
              <w:bottom w:val="single" w:color="C8D4E4" w:sz="1"/>
              <w:right w:val="single" w:color="C8D4E4" w:sz="1"/>
            </w:tcBorders>
            <w:shd w:fill="EEF1F7" w:val="clear"/>
            <w:tcMar>
              <w:top w:type="dxa" w:w="60"/>
              <w:left w:type="dxa" w:w="100"/>
              <w:bottom w:type="dxa" w:w="60"/>
              <w:right w:type="dxa" w:w="100"/>
            </w:tcMar>
          </w:tcPr>
          <w:p>
            <w:r>
              <w:rPr>
                <w:rFonts w:ascii="Arial" w:cs="Arial" w:eastAsia="Arial" w:hAnsi="Arial"/>
                <w:b w:val="false"/>
                <w:bCs w:val="false"/>
                <w:i w:val="false"/>
                <w:iCs w:val="false"/>
                <w:color w:val="1A1A1A"/>
                <w:sz w:val="18"/>
                <w:szCs w:val="18"/>
              </w:rPr>
              <w:t xml:space="preserve">Domain 3 — Operations</w:t>
            </w:r>
          </w:p>
        </w:tc>
        <w:tc>
          <w:tcPr>
            <w:tcW w:type="dxa" w:w="1100"/>
            <w:tcBorders>
              <w:top w:val="single" w:color="C8D4E4" w:sz="1"/>
              <w:left w:val="single" w:color="C8D4E4" w:sz="1"/>
              <w:bottom w:val="single" w:color="C8D4E4" w:sz="1"/>
              <w:right w:val="single" w:color="C8D4E4" w:sz="1"/>
            </w:tcBorders>
            <w:shd w:fill="FFF2CC" w:val="clear"/>
            <w:tcMar>
              <w:top w:type="dxa" w:w="60"/>
              <w:left w:type="dxa" w:w="100"/>
              <w:bottom w:type="dxa" w:w="60"/>
              <w:right w:type="dxa" w:w="100"/>
            </w:tcMar>
          </w:tcPr>
          <w:p>
            <w:pPr>
              <w:jc w:val="center"/>
            </w:pPr>
            <w:r>
              <w:rPr>
                <w:rFonts w:ascii="Arial" w:cs="Arial" w:eastAsia="Arial" w:hAnsi="Arial"/>
                <w:b/>
                <w:bCs/>
                <w:i w:val="false"/>
                <w:iCs w:val="false"/>
                <w:color w:val="B8860B"/>
                <w:sz w:val="18"/>
                <w:szCs w:val="18"/>
              </w:rPr>
              <w:t xml:space="preserve">High</w:t>
            </w:r>
          </w:p>
        </w:tc>
      </w:tr>
      <w:tr>
        <w:tc>
          <w:tcPr>
            <w:tcW w:type="dxa" w:w="1000"/>
            <w:tcBorders>
              <w:top w:val="single" w:color="C8D4E4" w:sz="1"/>
              <w:left w:val="single" w:color="C8D4E4" w:sz="1"/>
              <w:bottom w:val="single" w:color="C8D4E4" w:sz="1"/>
              <w:right w:val="single" w:color="C8D4E4"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B2A4A"/>
                <w:sz w:val="18"/>
                <w:szCs w:val="18"/>
              </w:rPr>
              <w:t xml:space="preserve">F-008</w:t>
            </w:r>
          </w:p>
        </w:tc>
        <w:tc>
          <w:tcPr>
            <w:tcW w:type="dxa" w:w="5646"/>
            <w:tcBorders>
              <w:top w:val="single" w:color="C8D4E4" w:sz="1"/>
              <w:left w:val="single" w:color="C8D4E4" w:sz="1"/>
              <w:bottom w:val="single" w:color="C8D4E4" w:sz="1"/>
              <w:right w:val="single" w:color="C8D4E4"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1A"/>
                <w:sz w:val="18"/>
                <w:szCs w:val="18"/>
              </w:rPr>
              <w:t xml:space="preserve">Vulnerability Management Ad Hoc — No Schedule or Patch SLA</w:t>
            </w:r>
          </w:p>
        </w:tc>
        <w:tc>
          <w:tcPr>
            <w:tcW w:type="dxa" w:w="2000"/>
            <w:tcBorders>
              <w:top w:val="single" w:color="C8D4E4" w:sz="1"/>
              <w:left w:val="single" w:color="C8D4E4" w:sz="1"/>
              <w:bottom w:val="single" w:color="C8D4E4" w:sz="1"/>
              <w:right w:val="single" w:color="C8D4E4"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1A"/>
                <w:sz w:val="18"/>
                <w:szCs w:val="18"/>
              </w:rPr>
              <w:t xml:space="preserve">Domain 3 — Operations</w:t>
            </w:r>
          </w:p>
        </w:tc>
        <w:tc>
          <w:tcPr>
            <w:tcW w:type="dxa" w:w="1100"/>
            <w:tcBorders>
              <w:top w:val="single" w:color="C8D4E4" w:sz="1"/>
              <w:left w:val="single" w:color="C8D4E4" w:sz="1"/>
              <w:bottom w:val="single" w:color="C8D4E4" w:sz="1"/>
              <w:right w:val="single" w:color="C8D4E4" w:sz="1"/>
            </w:tcBorders>
            <w:shd w:fill="FFF2CC" w:val="clear"/>
            <w:tcMar>
              <w:top w:type="dxa" w:w="60"/>
              <w:left w:type="dxa" w:w="100"/>
              <w:bottom w:type="dxa" w:w="60"/>
              <w:right w:type="dxa" w:w="100"/>
            </w:tcMar>
          </w:tcPr>
          <w:p>
            <w:pPr>
              <w:jc w:val="center"/>
            </w:pPr>
            <w:r>
              <w:rPr>
                <w:rFonts w:ascii="Arial" w:cs="Arial" w:eastAsia="Arial" w:hAnsi="Arial"/>
                <w:b/>
                <w:bCs/>
                <w:i w:val="false"/>
                <w:iCs w:val="false"/>
                <w:color w:val="B8860B"/>
                <w:sz w:val="18"/>
                <w:szCs w:val="18"/>
              </w:rPr>
              <w:t xml:space="preserve">High</w:t>
            </w:r>
          </w:p>
        </w:tc>
      </w:tr>
      <w:tr>
        <w:tc>
          <w:tcPr>
            <w:tcW w:type="dxa" w:w="1000"/>
            <w:tcBorders>
              <w:top w:val="single" w:color="C8D4E4" w:sz="1"/>
              <w:left w:val="single" w:color="C8D4E4" w:sz="1"/>
              <w:bottom w:val="single" w:color="C8D4E4" w:sz="1"/>
              <w:right w:val="single" w:color="C8D4E4" w:sz="1"/>
            </w:tcBorders>
            <w:shd w:fill="EEF1F7" w:val="clear"/>
            <w:tcMar>
              <w:top w:type="dxa" w:w="60"/>
              <w:left w:type="dxa" w:w="100"/>
              <w:bottom w:type="dxa" w:w="60"/>
              <w:right w:type="dxa" w:w="100"/>
            </w:tcMar>
          </w:tcPr>
          <w:p>
            <w:pPr>
              <w:jc w:val="center"/>
            </w:pPr>
            <w:r>
              <w:rPr>
                <w:rFonts w:ascii="Arial" w:cs="Arial" w:eastAsia="Arial" w:hAnsi="Arial"/>
                <w:b/>
                <w:bCs/>
                <w:i w:val="false"/>
                <w:iCs w:val="false"/>
                <w:color w:val="1B2A4A"/>
                <w:sz w:val="18"/>
                <w:szCs w:val="18"/>
              </w:rPr>
              <w:t xml:space="preserve">F-009</w:t>
            </w:r>
          </w:p>
        </w:tc>
        <w:tc>
          <w:tcPr>
            <w:tcW w:type="dxa" w:w="5646"/>
            <w:tcBorders>
              <w:top w:val="single" w:color="C8D4E4" w:sz="1"/>
              <w:left w:val="single" w:color="C8D4E4" w:sz="1"/>
              <w:bottom w:val="single" w:color="C8D4E4" w:sz="1"/>
              <w:right w:val="single" w:color="C8D4E4" w:sz="1"/>
            </w:tcBorders>
            <w:shd w:fill="EEF1F7" w:val="clear"/>
            <w:tcMar>
              <w:top w:type="dxa" w:w="60"/>
              <w:left w:type="dxa" w:w="100"/>
              <w:bottom w:type="dxa" w:w="60"/>
              <w:right w:type="dxa" w:w="100"/>
            </w:tcMar>
          </w:tcPr>
          <w:p>
            <w:r>
              <w:rPr>
                <w:rFonts w:ascii="Arial" w:cs="Arial" w:eastAsia="Arial" w:hAnsi="Arial"/>
                <w:b w:val="false"/>
                <w:bCs w:val="false"/>
                <w:i w:val="false"/>
                <w:iCs w:val="false"/>
                <w:color w:val="1A1A1A"/>
                <w:sz w:val="18"/>
                <w:szCs w:val="18"/>
              </w:rPr>
              <w:t xml:space="preserve">No Incident Response Procedure Documented or Tested</w:t>
            </w:r>
          </w:p>
        </w:tc>
        <w:tc>
          <w:tcPr>
            <w:tcW w:type="dxa" w:w="2000"/>
            <w:tcBorders>
              <w:top w:val="single" w:color="C8D4E4" w:sz="1"/>
              <w:left w:val="single" w:color="C8D4E4" w:sz="1"/>
              <w:bottom w:val="single" w:color="C8D4E4" w:sz="1"/>
              <w:right w:val="single" w:color="C8D4E4" w:sz="1"/>
            </w:tcBorders>
            <w:shd w:fill="EEF1F7" w:val="clear"/>
            <w:tcMar>
              <w:top w:type="dxa" w:w="60"/>
              <w:left w:type="dxa" w:w="100"/>
              <w:bottom w:type="dxa" w:w="60"/>
              <w:right w:type="dxa" w:w="100"/>
            </w:tcMar>
          </w:tcPr>
          <w:p>
            <w:r>
              <w:rPr>
                <w:rFonts w:ascii="Arial" w:cs="Arial" w:eastAsia="Arial" w:hAnsi="Arial"/>
                <w:b w:val="false"/>
                <w:bCs w:val="false"/>
                <w:i w:val="false"/>
                <w:iCs w:val="false"/>
                <w:color w:val="1A1A1A"/>
                <w:sz w:val="18"/>
                <w:szCs w:val="18"/>
              </w:rPr>
              <w:t xml:space="preserve">Domain 3 — Operations</w:t>
            </w:r>
          </w:p>
        </w:tc>
        <w:tc>
          <w:tcPr>
            <w:tcW w:type="dxa" w:w="1100"/>
            <w:tcBorders>
              <w:top w:val="single" w:color="C8D4E4" w:sz="1"/>
              <w:left w:val="single" w:color="C8D4E4" w:sz="1"/>
              <w:bottom w:val="single" w:color="C8D4E4" w:sz="1"/>
              <w:right w:val="single" w:color="C8D4E4" w:sz="1"/>
            </w:tcBorders>
            <w:shd w:fill="FFF2CC" w:val="clear"/>
            <w:tcMar>
              <w:top w:type="dxa" w:w="60"/>
              <w:left w:type="dxa" w:w="100"/>
              <w:bottom w:type="dxa" w:w="60"/>
              <w:right w:type="dxa" w:w="100"/>
            </w:tcMar>
          </w:tcPr>
          <w:p>
            <w:pPr>
              <w:jc w:val="center"/>
            </w:pPr>
            <w:r>
              <w:rPr>
                <w:rFonts w:ascii="Arial" w:cs="Arial" w:eastAsia="Arial" w:hAnsi="Arial"/>
                <w:b/>
                <w:bCs/>
                <w:i w:val="false"/>
                <w:iCs w:val="false"/>
                <w:color w:val="B8860B"/>
                <w:sz w:val="18"/>
                <w:szCs w:val="18"/>
              </w:rPr>
              <w:t xml:space="preserve">High</w:t>
            </w:r>
          </w:p>
        </w:tc>
      </w:tr>
      <w:tr>
        <w:tc>
          <w:tcPr>
            <w:tcW w:type="dxa" w:w="1000"/>
            <w:tcBorders>
              <w:top w:val="single" w:color="C8D4E4" w:sz="1"/>
              <w:left w:val="single" w:color="C8D4E4" w:sz="1"/>
              <w:bottom w:val="single" w:color="C8D4E4" w:sz="1"/>
              <w:right w:val="single" w:color="C8D4E4"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B2A4A"/>
                <w:sz w:val="18"/>
                <w:szCs w:val="18"/>
              </w:rPr>
              <w:t xml:space="preserve">F-010</w:t>
            </w:r>
          </w:p>
        </w:tc>
        <w:tc>
          <w:tcPr>
            <w:tcW w:type="dxa" w:w="5646"/>
            <w:tcBorders>
              <w:top w:val="single" w:color="C8D4E4" w:sz="1"/>
              <w:left w:val="single" w:color="C8D4E4" w:sz="1"/>
              <w:bottom w:val="single" w:color="C8D4E4" w:sz="1"/>
              <w:right w:val="single" w:color="C8D4E4"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1A"/>
                <w:sz w:val="18"/>
                <w:szCs w:val="18"/>
              </w:rPr>
              <w:t xml:space="preserve">Audit Log Retention 30 Days — SAMA Requires 12 Months Minimum</w:t>
            </w:r>
          </w:p>
        </w:tc>
        <w:tc>
          <w:tcPr>
            <w:tcW w:type="dxa" w:w="2000"/>
            <w:tcBorders>
              <w:top w:val="single" w:color="C8D4E4" w:sz="1"/>
              <w:left w:val="single" w:color="C8D4E4" w:sz="1"/>
              <w:bottom w:val="single" w:color="C8D4E4" w:sz="1"/>
              <w:right w:val="single" w:color="C8D4E4"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1A"/>
                <w:sz w:val="18"/>
                <w:szCs w:val="18"/>
              </w:rPr>
              <w:t xml:space="preserve">Domain 3 — Operations</w:t>
            </w:r>
          </w:p>
        </w:tc>
        <w:tc>
          <w:tcPr>
            <w:tcW w:type="dxa" w:w="1100"/>
            <w:tcBorders>
              <w:top w:val="single" w:color="C8D4E4" w:sz="1"/>
              <w:left w:val="single" w:color="C8D4E4" w:sz="1"/>
              <w:bottom w:val="single" w:color="C8D4E4" w:sz="1"/>
              <w:right w:val="single" w:color="C8D4E4" w:sz="1"/>
            </w:tcBorders>
            <w:shd w:fill="FFF2CC" w:val="clear"/>
            <w:tcMar>
              <w:top w:type="dxa" w:w="60"/>
              <w:left w:type="dxa" w:w="100"/>
              <w:bottom w:type="dxa" w:w="60"/>
              <w:right w:type="dxa" w:w="100"/>
            </w:tcMar>
          </w:tcPr>
          <w:p>
            <w:pPr>
              <w:jc w:val="center"/>
            </w:pPr>
            <w:r>
              <w:rPr>
                <w:rFonts w:ascii="Arial" w:cs="Arial" w:eastAsia="Arial" w:hAnsi="Arial"/>
                <w:b/>
                <w:bCs/>
                <w:i w:val="false"/>
                <w:iCs w:val="false"/>
                <w:color w:val="B8860B"/>
                <w:sz w:val="18"/>
                <w:szCs w:val="18"/>
              </w:rPr>
              <w:t xml:space="preserve">High</w:t>
            </w:r>
          </w:p>
        </w:tc>
      </w:tr>
    </w:tbl>
    <w:p>
      <w:pPr>
        <w:spacing w:after="0" w:before="160"/>
      </w:pPr>
      <w:r>
        <w:t xml:space="preserve"/>
      </w:r>
    </w:p>
    <w:p>
      <w:r>
        <w:br w:type="page"/>
      </w:r>
    </w:p>
    <w:p>
      <w:pPr>
        <w:pStyle w:val="Heading1"/>
        <w:pBdr>
          <w:bottom w:val="single" w:color="C8A951" w:sz="4" w:space="4"/>
        </w:pBdr>
        <w:spacing w:after="160" w:before="320"/>
      </w:pPr>
      <w:r>
        <w:rPr>
          <w:rFonts w:ascii="Arial" w:cs="Arial" w:eastAsia="Arial" w:hAnsi="Arial"/>
          <w:b/>
          <w:bCs/>
          <w:i w:val="false"/>
          <w:iCs w:val="false"/>
          <w:color w:val="1B2A4A"/>
          <w:sz w:val="26"/>
          <w:szCs w:val="26"/>
        </w:rPr>
        <w:t xml:space="preserve">2.  Client and Engagement Overview</w:t>
      </w:r>
    </w:p>
    <w:p>
      <w:pPr>
        <w:pStyle w:val="Heading2"/>
        <w:spacing w:after="120" w:before="240"/>
      </w:pPr>
      <w:r>
        <w:rPr>
          <w:rFonts w:ascii="Arial" w:cs="Arial" w:eastAsia="Arial" w:hAnsi="Arial"/>
          <w:b/>
          <w:bCs/>
          <w:i w:val="false"/>
          <w:iCs w:val="false"/>
          <w:color w:val="1B2A4A"/>
          <w:sz w:val="22"/>
          <w:szCs w:val="22"/>
        </w:rPr>
        <w:t xml:space="preserve">2.1  Client Profile</w:t>
      </w:r>
    </w:p>
    <w:p>
      <w:pPr>
        <w:spacing w:after="120" w:before="80"/>
        <w:jc w:val="both"/>
      </w:pPr>
      <w:r>
        <w:rPr>
          <w:rFonts w:ascii="Arial" w:cs="Arial" w:eastAsia="Arial" w:hAnsi="Arial"/>
          <w:b w:val="false"/>
          <w:bCs w:val="false"/>
          <w:i w:val="false"/>
          <w:iCs w:val="false"/>
          <w:color w:val="1A1A1A"/>
          <w:sz w:val="20"/>
          <w:szCs w:val="20"/>
        </w:rPr>
        <w:t xml:space="preserve">Al Ameen Insurance Company is a SAMA-regulated insurance provider headquartered in Riyadh, Saudi Arabia, with branch offices in Jeddah and Dammam. The organisation employs approximately 290 staff across underwriting and actuarial, claims, sales and distribution, finance and compliance, IT and operations, and HR and legal functions. Al Ameen writes motor, medical, and property insurance lines and is regulated under the Insurance Law (Royal Decree M/32).</w:t>
      </w:r>
    </w:p>
    <w:p>
      <w:pPr>
        <w:spacing w:after="120" w:before="80"/>
        <w:jc w:val="both"/>
      </w:pPr>
      <w:r>
        <w:rPr>
          <w:rFonts w:ascii="Arial" w:cs="Arial" w:eastAsia="Arial" w:hAnsi="Arial"/>
          <w:b w:val="false"/>
          <w:bCs w:val="false"/>
          <w:i w:val="false"/>
          <w:iCs w:val="false"/>
          <w:color w:val="1A1A1A"/>
          <w:sz w:val="20"/>
          <w:szCs w:val="20"/>
        </w:rPr>
        <w:t xml:space="preserve">Core operations are supported by Oracle Insurance Policy Administration and Guidewire ClaimCenter, both deployed on-premise within the organisation's Riyadh data centre. Secondary workloads run on Microsoft Azure KSA region, with Microsoft 365 and Azure Active Directory providing identity and productivity services in a hybrid configuration. Key third-party integrations include Najm for motor claims data exchange, Shafafiyah for SAMA regulatory reporting, and Munich Re and Swiss Re for reinsurance, with all reinsurance partners having direct or indirect access to production systems via secure file transfer.</w:t>
      </w:r>
    </w:p>
    <w:p>
      <w:pPr>
        <w:spacing w:after="120" w:before="80"/>
        <w:jc w:val="both"/>
      </w:pPr>
      <w:r>
        <w:rPr>
          <w:rFonts w:ascii="Arial" w:cs="Arial" w:eastAsia="Arial" w:hAnsi="Arial"/>
          <w:b w:val="false"/>
          <w:bCs w:val="false"/>
          <w:i w:val="false"/>
          <w:iCs w:val="false"/>
          <w:color w:val="1A1A1A"/>
          <w:sz w:val="20"/>
          <w:szCs w:val="20"/>
        </w:rPr>
        <w:t xml:space="preserve">The IT and operations function comprises 45 staff. There is no dedicated CISO or cybersecurity function. Cybersecurity responsibilities are managed informally by the IT Operations Manager alongside infrastructure and operational duties. Prior to this engagement, no formal cybersecurity framework assessment had been conducted, and a previous SAMA supervisory examination had flagged cybersecurity governance as a concern.</w:t>
      </w:r>
    </w:p>
    <w:p>
      <w:pPr>
        <w:pStyle w:val="Heading2"/>
        <w:spacing w:after="120" w:before="240"/>
      </w:pPr>
      <w:r>
        <w:rPr>
          <w:rFonts w:ascii="Arial" w:cs="Arial" w:eastAsia="Arial" w:hAnsi="Arial"/>
          <w:b/>
          <w:bCs/>
          <w:i w:val="false"/>
          <w:iCs w:val="false"/>
          <w:color w:val="1B2A4A"/>
          <w:sz w:val="22"/>
          <w:szCs w:val="22"/>
        </w:rPr>
        <w:t xml:space="preserve">2.2  Audit Scope and Frameworks</w:t>
      </w:r>
    </w:p>
    <w:p>
      <w:pPr>
        <w:spacing w:after="120" w:before="80"/>
        <w:jc w:val="both"/>
      </w:pPr>
      <w:r>
        <w:rPr>
          <w:rFonts w:ascii="Arial" w:cs="Arial" w:eastAsia="Arial" w:hAnsi="Arial"/>
          <w:b w:val="false"/>
          <w:bCs w:val="false"/>
          <w:i w:val="false"/>
          <w:iCs w:val="false"/>
          <w:color w:val="1A1A1A"/>
          <w:sz w:val="20"/>
          <w:szCs w:val="20"/>
        </w:rPr>
        <w:t xml:space="preserve">This audit assessed Al Ameen Insurance Company's cybersecurity controls against two frameworks:</w:t>
      </w:r>
    </w:p>
    <w:p>
      <w:pPr>
        <w:pStyle w:val="ListParagraph"/>
        <w:numPr>
          <w:ilvl w:val="0"/>
          <w:numId w:val="2"/>
        </w:numPr>
        <w:spacing w:after="60" w:before="60"/>
      </w:pPr>
      <w:r>
        <w:rPr>
          <w:rFonts w:ascii="Arial" w:cs="Arial" w:eastAsia="Arial" w:hAnsi="Arial"/>
          <w:b w:val="false"/>
          <w:bCs w:val="false"/>
          <w:i w:val="false"/>
          <w:iCs w:val="false"/>
          <w:color w:val="1A1A1A"/>
          <w:sz w:val="20"/>
          <w:szCs w:val="20"/>
        </w:rPr>
        <w:t xml:space="preserve">NCA ECC-1:2018 — all 114 controls across five domains: Cybersecurity Governance (28 controls), Cybersecurity Risk Management (18 controls), Cybersecurity Operations (42 controls), Third-Party Cybersecurity (14 controls), and Cybersecurity Resilience (12 controls)</w:t>
      </w:r>
    </w:p>
    <w:p>
      <w:pPr>
        <w:pStyle w:val="ListParagraph"/>
        <w:numPr>
          <w:ilvl w:val="0"/>
          <w:numId w:val="2"/>
        </w:numPr>
        <w:spacing w:after="60" w:before="60"/>
      </w:pPr>
      <w:r>
        <w:rPr>
          <w:rFonts w:ascii="Arial" w:cs="Arial" w:eastAsia="Arial" w:hAnsi="Arial"/>
          <w:b w:val="false"/>
          <w:bCs w:val="false"/>
          <w:i w:val="false"/>
          <w:iCs w:val="false"/>
          <w:color w:val="1A1A1A"/>
          <w:sz w:val="20"/>
          <w:szCs w:val="20"/>
        </w:rPr>
        <w:t xml:space="preserve">SAMA Cybersecurity Framework — maturity assessment across four pillars: Leadership and Governance, Risk and Compliance, Operations and Technology, and Third-Party Management — rated on a 1 to 4 maturity scale</w:t>
      </w:r>
    </w:p>
    <w:p>
      <w:pPr>
        <w:spacing w:after="0" w:before="80"/>
      </w:pPr>
      <w:r>
        <w:t xml:space="preserve"/>
      </w:r>
    </w:p>
    <w:p>
      <w:pPr>
        <w:spacing w:after="120" w:before="80"/>
        <w:jc w:val="both"/>
      </w:pPr>
      <w:r>
        <w:rPr>
          <w:rFonts w:ascii="Arial" w:cs="Arial" w:eastAsia="Arial" w:hAnsi="Arial"/>
          <w:b w:val="false"/>
          <w:bCs w:val="false"/>
          <w:i w:val="false"/>
          <w:iCs w:val="false"/>
          <w:color w:val="1A1A1A"/>
          <w:sz w:val="20"/>
          <w:szCs w:val="20"/>
        </w:rPr>
        <w:t xml:space="preserve">The engagement excluded penetration testing, technical vulnerability scanning, detailed assessment of reinsurance partners beyond contractual review, and any assessment against NCA ECC-2:2024, which was released in October 2024 and was not the applicable regulatory baseline at the time this engagement commenced.</w:t>
      </w:r>
    </w:p>
    <w:p>
      <w:pPr>
        <w:pStyle w:val="Heading2"/>
        <w:spacing w:after="120" w:before="240"/>
      </w:pPr>
      <w:r>
        <w:rPr>
          <w:rFonts w:ascii="Arial" w:cs="Arial" w:eastAsia="Arial" w:hAnsi="Arial"/>
          <w:b/>
          <w:bCs/>
          <w:i w:val="false"/>
          <w:iCs w:val="false"/>
          <w:color w:val="1B2A4A"/>
          <w:sz w:val="22"/>
          <w:szCs w:val="22"/>
        </w:rPr>
        <w:t xml:space="preserve">2.3  Audit Methodology</w:t>
      </w:r>
    </w:p>
    <w:p>
      <w:pPr>
        <w:spacing w:after="120" w:before="80"/>
        <w:jc w:val="both"/>
      </w:pPr>
      <w:r>
        <w:rPr>
          <w:rFonts w:ascii="Arial" w:cs="Arial" w:eastAsia="Arial" w:hAnsi="Arial"/>
          <w:b w:val="false"/>
          <w:bCs w:val="false"/>
          <w:i w:val="false"/>
          <w:iCs w:val="false"/>
          <w:color w:val="1A1A1A"/>
          <w:sz w:val="20"/>
          <w:szCs w:val="20"/>
        </w:rPr>
        <w:t xml:space="preserve">The audit was conducted using an evidence-based methodology comprising four primary techniques. Document and policy review assessed existing cybersecurity policies, procedures, standards, and documentation against framework requirements. Stakeholder interviews were conducted with ten individuals across IT operations, compliance, HR, underwriting, claims, and senior management. System and configuration walkthroughs examined Oracle Insurance Policy Administration, Guidewire ClaimCenter, Microsoft Azure Active Directory, and on-premise data centre infrastructure. Risk assessment applied a Likelihood × Impact methodology on a 1 to 5 scale, producing scores from 1 to 25, classified as Critical (20–25), High (12–19), Medium (6–11), or Low (1–5).</w:t>
      </w:r>
    </w:p>
    <w:p>
      <w:pPr>
        <w:spacing w:after="120" w:before="80"/>
        <w:jc w:val="both"/>
      </w:pPr>
      <w:r>
        <w:rPr>
          <w:rFonts w:ascii="Arial" w:cs="Arial" w:eastAsia="Arial" w:hAnsi="Arial"/>
          <w:b w:val="false"/>
          <w:bCs w:val="false"/>
          <w:i w:val="false"/>
          <w:iCs w:val="false"/>
          <w:color w:val="1A1A1A"/>
          <w:sz w:val="20"/>
          <w:szCs w:val="20"/>
        </w:rPr>
        <w:t xml:space="preserve">Each ECC-1:2018 control was assessed and assigned one of four conformance ratings: Conformant (C) — control is fully implemented, documented, and evidenced; Partial (P) — control exists but implementation is incomplete, inconsistent, or undocumented; Non-Conformant (NC) — control is absent or significantly deficient; Not Applicable (N/A) — control does not apply to the organisation's context. SAMA CSF maturity was assessed on a 1 to 4 scale where 1 represents an Initial, ad hoc state and 4 represents a fully Managed and optimised programme.</w:t>
      </w:r>
    </w:p>
    <w:p>
      <w:pPr>
        <w:spacing w:after="0" w:before="120"/>
      </w:pPr>
      <w:r>
        <w:t xml:space="preserve"/>
      </w:r>
    </w:p>
    <w:p>
      <w:r>
        <w:br w:type="page"/>
      </w:r>
    </w:p>
    <w:p>
      <w:pPr>
        <w:pStyle w:val="Heading1"/>
        <w:pBdr>
          <w:bottom w:val="single" w:color="C8A951" w:sz="4" w:space="4"/>
        </w:pBdr>
        <w:spacing w:after="160" w:before="320"/>
      </w:pPr>
      <w:r>
        <w:rPr>
          <w:rFonts w:ascii="Arial" w:cs="Arial" w:eastAsia="Arial" w:hAnsi="Arial"/>
          <w:b/>
          <w:bCs/>
          <w:i w:val="false"/>
          <w:iCs w:val="false"/>
          <w:color w:val="1B2A4A"/>
          <w:sz w:val="26"/>
          <w:szCs w:val="26"/>
        </w:rPr>
        <w:t xml:space="preserve">3.  NCA ECC-1:2018 — Conformance Assessment</w:t>
      </w:r>
    </w:p>
    <w:p>
      <w:pPr>
        <w:pStyle w:val="Heading2"/>
        <w:spacing w:after="120" w:before="240"/>
      </w:pPr>
      <w:r>
        <w:rPr>
          <w:rFonts w:ascii="Arial" w:cs="Arial" w:eastAsia="Arial" w:hAnsi="Arial"/>
          <w:b/>
          <w:bCs/>
          <w:i w:val="false"/>
          <w:iCs w:val="false"/>
          <w:color w:val="1B2A4A"/>
          <w:sz w:val="22"/>
          <w:szCs w:val="22"/>
        </w:rPr>
        <w:t xml:space="preserve">3.1  Overall Conformance Summary</w:t>
      </w:r>
    </w:p>
    <w:p>
      <w:pPr>
        <w:spacing w:after="120" w:before="80"/>
        <w:jc w:val="both"/>
      </w:pPr>
      <w:r>
        <w:rPr>
          <w:rFonts w:ascii="Arial" w:cs="Arial" w:eastAsia="Arial" w:hAnsi="Arial"/>
          <w:b w:val="false"/>
          <w:bCs w:val="false"/>
          <w:i w:val="false"/>
          <w:iCs w:val="false"/>
          <w:color w:val="1A1A1A"/>
          <w:sz w:val="20"/>
          <w:szCs w:val="20"/>
        </w:rPr>
        <w:t xml:space="preserve">The audit assessed Al Ameen Insurance Company against all 114 controls within NCA ECC-1:2018. The organisation achieved full conformance on 33 controls (29.0%), partial conformance on 48 controls (42.1%), and was assessed as non-conformant on 33 controls (28.9%). The conformance breakdown by domain is presented below.</w:t>
      </w:r>
    </w:p>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1100"/>
        <w:gridCol w:w="1100"/>
        <w:gridCol w:w="1400"/>
        <w:gridCol w:w="1546"/>
      </w:tblGrid>
      <w:tr>
        <w:tc>
          <w:tcPr>
            <w:tcW w:type="dxa" w:w="3600"/>
            <w:tcBorders>
              <w:top w:val="single" w:color="C8D4E4" w:sz="1"/>
              <w:left w:val="single" w:color="C8D4E4" w:sz="1"/>
              <w:bottom w:val="single" w:color="C8D4E4" w:sz="1"/>
              <w:right w:val="single" w:color="C8D4E4" w:sz="1"/>
            </w:tcBorders>
            <w:shd w:fill="1B2A4A"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Domain</w:t>
            </w:r>
          </w:p>
        </w:tc>
        <w:tc>
          <w:tcPr>
            <w:tcW w:type="dxa" w:w="1000"/>
            <w:tcBorders>
              <w:top w:val="single" w:color="C8D4E4" w:sz="1"/>
              <w:left w:val="single" w:color="C8D4E4" w:sz="1"/>
              <w:bottom w:val="single" w:color="C8D4E4" w:sz="1"/>
              <w:right w:val="single" w:color="C8D4E4" w:sz="1"/>
            </w:tcBorders>
            <w:shd w:fill="1B2A4A"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Controls</w:t>
            </w:r>
          </w:p>
        </w:tc>
        <w:tc>
          <w:tcPr>
            <w:tcW w:type="dxa" w:w="1100"/>
            <w:tcBorders>
              <w:top w:val="single" w:color="C8D4E4" w:sz="1"/>
              <w:left w:val="single" w:color="C8D4E4" w:sz="1"/>
              <w:bottom w:val="single" w:color="C8D4E4" w:sz="1"/>
              <w:right w:val="single" w:color="C8D4E4" w:sz="1"/>
            </w:tcBorders>
            <w:shd w:fill="1B2A4A"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Conformant</w:t>
            </w:r>
          </w:p>
        </w:tc>
        <w:tc>
          <w:tcPr>
            <w:tcW w:type="dxa" w:w="1100"/>
            <w:tcBorders>
              <w:top w:val="single" w:color="C8D4E4" w:sz="1"/>
              <w:left w:val="single" w:color="C8D4E4" w:sz="1"/>
              <w:bottom w:val="single" w:color="C8D4E4" w:sz="1"/>
              <w:right w:val="single" w:color="C8D4E4" w:sz="1"/>
            </w:tcBorders>
            <w:shd w:fill="1B2A4A"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Partial</w:t>
            </w:r>
          </w:p>
        </w:tc>
        <w:tc>
          <w:tcPr>
            <w:tcW w:type="dxa" w:w="1400"/>
            <w:tcBorders>
              <w:top w:val="single" w:color="C8D4E4" w:sz="1"/>
              <w:left w:val="single" w:color="C8D4E4" w:sz="1"/>
              <w:bottom w:val="single" w:color="C8D4E4" w:sz="1"/>
              <w:right w:val="single" w:color="C8D4E4" w:sz="1"/>
            </w:tcBorders>
            <w:shd w:fill="1B2A4A"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Non-Conformant</w:t>
            </w:r>
          </w:p>
        </w:tc>
        <w:tc>
          <w:tcPr>
            <w:tcW w:type="dxa" w:w="1546"/>
            <w:tcBorders>
              <w:top w:val="single" w:color="C8D4E4" w:sz="1"/>
              <w:left w:val="single" w:color="C8D4E4" w:sz="1"/>
              <w:bottom w:val="single" w:color="C8D4E4" w:sz="1"/>
              <w:right w:val="single" w:color="C8D4E4" w:sz="1"/>
            </w:tcBorders>
            <w:shd w:fill="1B2A4A"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Conformance %</w:t>
            </w:r>
          </w:p>
        </w:tc>
      </w:tr>
      <w:tr>
        <w:tc>
          <w:tcPr>
            <w:tcW w:type="dxa" w:w="3600"/>
            <w:tcBorders>
              <w:top w:val="single" w:color="C8D4E4" w:sz="1"/>
              <w:left w:val="single" w:color="C8D4E4" w:sz="1"/>
              <w:bottom w:val="single" w:color="C8D4E4" w:sz="1"/>
              <w:right w:val="single" w:color="C8D4E4" w:sz="1"/>
            </w:tcBorders>
            <w:shd w:fill="EEF1F7" w:val="clear"/>
            <w:tcMar>
              <w:top w:type="dxa" w:w="60"/>
              <w:left w:type="dxa" w:w="100"/>
              <w:bottom w:type="dxa" w:w="60"/>
              <w:right w:type="dxa" w:w="100"/>
            </w:tcMar>
          </w:tcPr>
          <w:p>
            <w:r>
              <w:rPr>
                <w:rFonts w:ascii="Arial" w:cs="Arial" w:eastAsia="Arial" w:hAnsi="Arial"/>
                <w:b w:val="false"/>
                <w:bCs w:val="false"/>
                <w:i w:val="false"/>
                <w:iCs w:val="false"/>
                <w:color w:val="1B2A4A"/>
                <w:sz w:val="18"/>
                <w:szCs w:val="18"/>
              </w:rPr>
              <w:t xml:space="preserve">1. Cybersecurity Governance</w:t>
            </w:r>
          </w:p>
        </w:tc>
        <w:tc>
          <w:tcPr>
            <w:tcW w:type="dxa" w:w="1000"/>
            <w:tcBorders>
              <w:top w:val="single" w:color="C8D4E4" w:sz="1"/>
              <w:left w:val="single" w:color="C8D4E4" w:sz="1"/>
              <w:bottom w:val="single" w:color="C8D4E4" w:sz="1"/>
              <w:right w:val="single" w:color="C8D4E4" w:sz="1"/>
            </w:tcBorders>
            <w:shd w:fill="EEF1F7" w:val="clear"/>
            <w:tcMar>
              <w:top w:type="dxa" w:w="60"/>
              <w:left w:type="dxa" w:w="100"/>
              <w:bottom w:type="dxa" w:w="60"/>
              <w:right w:type="dxa" w:w="100"/>
            </w:tcMar>
          </w:tcPr>
          <w:p>
            <w:pPr>
              <w:jc w:val="center"/>
            </w:pPr>
            <w:r>
              <w:rPr>
                <w:rFonts w:ascii="Arial" w:cs="Arial" w:eastAsia="Arial" w:hAnsi="Arial"/>
                <w:b w:val="false"/>
                <w:bCs w:val="false"/>
                <w:i w:val="false"/>
                <w:iCs w:val="false"/>
                <w:color w:val="1A1A1A"/>
                <w:sz w:val="18"/>
                <w:szCs w:val="18"/>
              </w:rPr>
              <w:t xml:space="preserve">28</w:t>
            </w:r>
          </w:p>
        </w:tc>
        <w:tc>
          <w:tcPr>
            <w:tcW w:type="dxa" w:w="1100"/>
            <w:tcBorders>
              <w:top w:val="single" w:color="C8D4E4" w:sz="1"/>
              <w:left w:val="single" w:color="C8D4E4" w:sz="1"/>
              <w:bottom w:val="single" w:color="C8D4E4" w:sz="1"/>
              <w:right w:val="single" w:color="C8D4E4" w:sz="1"/>
            </w:tcBorders>
            <w:shd w:fill="E8F0E8" w:val="clear"/>
            <w:tcMar>
              <w:top w:type="dxa" w:w="60"/>
              <w:left w:type="dxa" w:w="100"/>
              <w:bottom w:type="dxa" w:w="60"/>
              <w:right w:type="dxa" w:w="100"/>
            </w:tcMar>
          </w:tcPr>
          <w:p>
            <w:pPr>
              <w:jc w:val="center"/>
            </w:pPr>
            <w:r>
              <w:rPr>
                <w:rFonts w:ascii="Arial" w:cs="Arial" w:eastAsia="Arial" w:hAnsi="Arial"/>
                <w:b w:val="false"/>
                <w:bCs w:val="false"/>
                <w:i w:val="false"/>
                <w:iCs w:val="false"/>
                <w:color w:val="2D6A2D"/>
                <w:sz w:val="18"/>
                <w:szCs w:val="18"/>
              </w:rPr>
              <w:t xml:space="preserve">8</w:t>
            </w:r>
          </w:p>
        </w:tc>
        <w:tc>
          <w:tcPr>
            <w:tcW w:type="dxa" w:w="1100"/>
            <w:tcBorders>
              <w:top w:val="single" w:color="C8D4E4" w:sz="1"/>
              <w:left w:val="single" w:color="C8D4E4" w:sz="1"/>
              <w:bottom w:val="single" w:color="C8D4E4" w:sz="1"/>
              <w:right w:val="single" w:color="C8D4E4" w:sz="1"/>
            </w:tcBorders>
            <w:shd w:fill="FFF2CC" w:val="clear"/>
            <w:tcMar>
              <w:top w:type="dxa" w:w="60"/>
              <w:left w:type="dxa" w:w="100"/>
              <w:bottom w:type="dxa" w:w="60"/>
              <w:right w:type="dxa" w:w="100"/>
            </w:tcMar>
          </w:tcPr>
          <w:p>
            <w:pPr>
              <w:jc w:val="center"/>
            </w:pPr>
            <w:r>
              <w:rPr>
                <w:rFonts w:ascii="Arial" w:cs="Arial" w:eastAsia="Arial" w:hAnsi="Arial"/>
                <w:b w:val="false"/>
                <w:bCs w:val="false"/>
                <w:i w:val="false"/>
                <w:iCs w:val="false"/>
                <w:color w:val="B8860B"/>
                <w:sz w:val="18"/>
                <w:szCs w:val="18"/>
              </w:rPr>
              <w:t xml:space="preserve">12</w:t>
            </w:r>
          </w:p>
        </w:tc>
        <w:tc>
          <w:tcPr>
            <w:tcW w:type="dxa" w:w="1400"/>
            <w:tcBorders>
              <w:top w:val="single" w:color="C8D4E4" w:sz="1"/>
              <w:left w:val="single" w:color="C8D4E4" w:sz="1"/>
              <w:bottom w:val="single" w:color="C8D4E4" w:sz="1"/>
              <w:right w:val="single" w:color="C8D4E4" w:sz="1"/>
            </w:tcBorders>
            <w:shd w:fill="FCE4D6" w:val="clear"/>
            <w:tcMar>
              <w:top w:type="dxa" w:w="60"/>
              <w:left w:type="dxa" w:w="100"/>
              <w:bottom w:type="dxa" w:w="60"/>
              <w:right w:type="dxa" w:w="100"/>
            </w:tcMar>
          </w:tcPr>
          <w:p>
            <w:pPr>
              <w:jc w:val="center"/>
            </w:pPr>
            <w:r>
              <w:rPr>
                <w:rFonts w:ascii="Arial" w:cs="Arial" w:eastAsia="Arial" w:hAnsi="Arial"/>
                <w:b w:val="false"/>
                <w:bCs w:val="false"/>
                <w:i w:val="false"/>
                <w:iCs w:val="false"/>
                <w:color w:val="C00000"/>
                <w:sz w:val="18"/>
                <w:szCs w:val="18"/>
              </w:rPr>
              <w:t xml:space="preserve">8</w:t>
            </w:r>
          </w:p>
        </w:tc>
        <w:tc>
          <w:tcPr>
            <w:tcW w:type="dxa" w:w="1546"/>
            <w:tcBorders>
              <w:top w:val="single" w:color="C8D4E4" w:sz="1"/>
              <w:left w:val="single" w:color="C8D4E4" w:sz="1"/>
              <w:bottom w:val="single" w:color="C8D4E4" w:sz="1"/>
              <w:right w:val="single" w:color="C8D4E4" w:sz="1"/>
            </w:tcBorders>
            <w:shd w:fill="EEF1F7" w:val="clear"/>
            <w:tcMar>
              <w:top w:type="dxa" w:w="60"/>
              <w:left w:type="dxa" w:w="100"/>
              <w:bottom w:type="dxa" w:w="60"/>
              <w:right w:type="dxa" w:w="100"/>
            </w:tcMar>
          </w:tcPr>
          <w:p>
            <w:pPr>
              <w:jc w:val="center"/>
            </w:pPr>
            <w:r>
              <w:rPr>
                <w:rFonts w:ascii="Arial" w:cs="Arial" w:eastAsia="Arial" w:hAnsi="Arial"/>
                <w:b w:val="false"/>
                <w:bCs w:val="false"/>
                <w:i w:val="false"/>
                <w:iCs w:val="false"/>
                <w:color w:val="1A1A1A"/>
                <w:sz w:val="18"/>
                <w:szCs w:val="18"/>
              </w:rPr>
              <w:t xml:space="preserve">28.6%</w:t>
            </w:r>
          </w:p>
        </w:tc>
      </w:tr>
      <w:tr>
        <w:tc>
          <w:tcPr>
            <w:tcW w:type="dxa" w:w="3600"/>
            <w:tcBorders>
              <w:top w:val="single" w:color="C8D4E4" w:sz="1"/>
              <w:left w:val="single" w:color="C8D4E4" w:sz="1"/>
              <w:bottom w:val="single" w:color="C8D4E4" w:sz="1"/>
              <w:right w:val="single" w:color="C8D4E4"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B2A4A"/>
                <w:sz w:val="18"/>
                <w:szCs w:val="18"/>
              </w:rPr>
              <w:t xml:space="preserve">2. Cybersecurity Risk Management</w:t>
            </w:r>
          </w:p>
        </w:tc>
        <w:tc>
          <w:tcPr>
            <w:tcW w:type="dxa" w:w="1000"/>
            <w:tcBorders>
              <w:top w:val="single" w:color="C8D4E4" w:sz="1"/>
              <w:left w:val="single" w:color="C8D4E4" w:sz="1"/>
              <w:bottom w:val="single" w:color="C8D4E4" w:sz="1"/>
              <w:right w:val="single" w:color="C8D4E4"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A1A1A"/>
                <w:sz w:val="18"/>
                <w:szCs w:val="18"/>
              </w:rPr>
              <w:t xml:space="preserve">18</w:t>
            </w:r>
          </w:p>
        </w:tc>
        <w:tc>
          <w:tcPr>
            <w:tcW w:type="dxa" w:w="1100"/>
            <w:tcBorders>
              <w:top w:val="single" w:color="C8D4E4" w:sz="1"/>
              <w:left w:val="single" w:color="C8D4E4" w:sz="1"/>
              <w:bottom w:val="single" w:color="C8D4E4" w:sz="1"/>
              <w:right w:val="single" w:color="C8D4E4" w:sz="1"/>
            </w:tcBorders>
            <w:shd w:fill="E8F0E8" w:val="clear"/>
            <w:tcMar>
              <w:top w:type="dxa" w:w="60"/>
              <w:left w:type="dxa" w:w="100"/>
              <w:bottom w:type="dxa" w:w="60"/>
              <w:right w:type="dxa" w:w="100"/>
            </w:tcMar>
          </w:tcPr>
          <w:p>
            <w:pPr>
              <w:jc w:val="center"/>
            </w:pPr>
            <w:r>
              <w:rPr>
                <w:rFonts w:ascii="Arial" w:cs="Arial" w:eastAsia="Arial" w:hAnsi="Arial"/>
                <w:b w:val="false"/>
                <w:bCs w:val="false"/>
                <w:i w:val="false"/>
                <w:iCs w:val="false"/>
                <w:color w:val="2D6A2D"/>
                <w:sz w:val="18"/>
                <w:szCs w:val="18"/>
              </w:rPr>
              <w:t xml:space="preserve">4</w:t>
            </w:r>
          </w:p>
        </w:tc>
        <w:tc>
          <w:tcPr>
            <w:tcW w:type="dxa" w:w="1100"/>
            <w:tcBorders>
              <w:top w:val="single" w:color="C8D4E4" w:sz="1"/>
              <w:left w:val="single" w:color="C8D4E4" w:sz="1"/>
              <w:bottom w:val="single" w:color="C8D4E4" w:sz="1"/>
              <w:right w:val="single" w:color="C8D4E4" w:sz="1"/>
            </w:tcBorders>
            <w:shd w:fill="FFF2CC" w:val="clear"/>
            <w:tcMar>
              <w:top w:type="dxa" w:w="60"/>
              <w:left w:type="dxa" w:w="100"/>
              <w:bottom w:type="dxa" w:w="60"/>
              <w:right w:type="dxa" w:w="100"/>
            </w:tcMar>
          </w:tcPr>
          <w:p>
            <w:pPr>
              <w:jc w:val="center"/>
            </w:pPr>
            <w:r>
              <w:rPr>
                <w:rFonts w:ascii="Arial" w:cs="Arial" w:eastAsia="Arial" w:hAnsi="Arial"/>
                <w:b w:val="false"/>
                <w:bCs w:val="false"/>
                <w:i w:val="false"/>
                <w:iCs w:val="false"/>
                <w:color w:val="B8860B"/>
                <w:sz w:val="18"/>
                <w:szCs w:val="18"/>
              </w:rPr>
              <w:t xml:space="preserve">7</w:t>
            </w:r>
          </w:p>
        </w:tc>
        <w:tc>
          <w:tcPr>
            <w:tcW w:type="dxa" w:w="1400"/>
            <w:tcBorders>
              <w:top w:val="single" w:color="C8D4E4" w:sz="1"/>
              <w:left w:val="single" w:color="C8D4E4" w:sz="1"/>
              <w:bottom w:val="single" w:color="C8D4E4" w:sz="1"/>
              <w:right w:val="single" w:color="C8D4E4" w:sz="1"/>
            </w:tcBorders>
            <w:shd w:fill="FCE4D6" w:val="clear"/>
            <w:tcMar>
              <w:top w:type="dxa" w:w="60"/>
              <w:left w:type="dxa" w:w="100"/>
              <w:bottom w:type="dxa" w:w="60"/>
              <w:right w:type="dxa" w:w="100"/>
            </w:tcMar>
          </w:tcPr>
          <w:p>
            <w:pPr>
              <w:jc w:val="center"/>
            </w:pPr>
            <w:r>
              <w:rPr>
                <w:rFonts w:ascii="Arial" w:cs="Arial" w:eastAsia="Arial" w:hAnsi="Arial"/>
                <w:b w:val="false"/>
                <w:bCs w:val="false"/>
                <w:i w:val="false"/>
                <w:iCs w:val="false"/>
                <w:color w:val="C00000"/>
                <w:sz w:val="18"/>
                <w:szCs w:val="18"/>
              </w:rPr>
              <w:t xml:space="preserve">7</w:t>
            </w:r>
          </w:p>
        </w:tc>
        <w:tc>
          <w:tcPr>
            <w:tcW w:type="dxa" w:w="1546"/>
            <w:tcBorders>
              <w:top w:val="single" w:color="C8D4E4" w:sz="1"/>
              <w:left w:val="single" w:color="C8D4E4" w:sz="1"/>
              <w:bottom w:val="single" w:color="C8D4E4" w:sz="1"/>
              <w:right w:val="single" w:color="C8D4E4"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A1A1A"/>
                <w:sz w:val="18"/>
                <w:szCs w:val="18"/>
              </w:rPr>
              <w:t xml:space="preserve">22.2%</w:t>
            </w:r>
          </w:p>
        </w:tc>
      </w:tr>
      <w:tr>
        <w:tc>
          <w:tcPr>
            <w:tcW w:type="dxa" w:w="3600"/>
            <w:tcBorders>
              <w:top w:val="single" w:color="C8D4E4" w:sz="1"/>
              <w:left w:val="single" w:color="C8D4E4" w:sz="1"/>
              <w:bottom w:val="single" w:color="C8D4E4" w:sz="1"/>
              <w:right w:val="single" w:color="C8D4E4" w:sz="1"/>
            </w:tcBorders>
            <w:shd w:fill="EEF1F7" w:val="clear"/>
            <w:tcMar>
              <w:top w:type="dxa" w:w="60"/>
              <w:left w:type="dxa" w:w="100"/>
              <w:bottom w:type="dxa" w:w="60"/>
              <w:right w:type="dxa" w:w="100"/>
            </w:tcMar>
          </w:tcPr>
          <w:p>
            <w:r>
              <w:rPr>
                <w:rFonts w:ascii="Arial" w:cs="Arial" w:eastAsia="Arial" w:hAnsi="Arial"/>
                <w:b w:val="false"/>
                <w:bCs w:val="false"/>
                <w:i w:val="false"/>
                <w:iCs w:val="false"/>
                <w:color w:val="1B2A4A"/>
                <w:sz w:val="18"/>
                <w:szCs w:val="18"/>
              </w:rPr>
              <w:t xml:space="preserve">3. Cybersecurity Operations</w:t>
            </w:r>
          </w:p>
        </w:tc>
        <w:tc>
          <w:tcPr>
            <w:tcW w:type="dxa" w:w="1000"/>
            <w:tcBorders>
              <w:top w:val="single" w:color="C8D4E4" w:sz="1"/>
              <w:left w:val="single" w:color="C8D4E4" w:sz="1"/>
              <w:bottom w:val="single" w:color="C8D4E4" w:sz="1"/>
              <w:right w:val="single" w:color="C8D4E4" w:sz="1"/>
            </w:tcBorders>
            <w:shd w:fill="EEF1F7" w:val="clear"/>
            <w:tcMar>
              <w:top w:type="dxa" w:w="60"/>
              <w:left w:type="dxa" w:w="100"/>
              <w:bottom w:type="dxa" w:w="60"/>
              <w:right w:type="dxa" w:w="100"/>
            </w:tcMar>
          </w:tcPr>
          <w:p>
            <w:pPr>
              <w:jc w:val="center"/>
            </w:pPr>
            <w:r>
              <w:rPr>
                <w:rFonts w:ascii="Arial" w:cs="Arial" w:eastAsia="Arial" w:hAnsi="Arial"/>
                <w:b w:val="false"/>
                <w:bCs w:val="false"/>
                <w:i w:val="false"/>
                <w:iCs w:val="false"/>
                <w:color w:val="1A1A1A"/>
                <w:sz w:val="18"/>
                <w:szCs w:val="18"/>
              </w:rPr>
              <w:t xml:space="preserve">42</w:t>
            </w:r>
          </w:p>
        </w:tc>
        <w:tc>
          <w:tcPr>
            <w:tcW w:type="dxa" w:w="1100"/>
            <w:tcBorders>
              <w:top w:val="single" w:color="C8D4E4" w:sz="1"/>
              <w:left w:val="single" w:color="C8D4E4" w:sz="1"/>
              <w:bottom w:val="single" w:color="C8D4E4" w:sz="1"/>
              <w:right w:val="single" w:color="C8D4E4" w:sz="1"/>
            </w:tcBorders>
            <w:shd w:fill="E8F0E8" w:val="clear"/>
            <w:tcMar>
              <w:top w:type="dxa" w:w="60"/>
              <w:left w:type="dxa" w:w="100"/>
              <w:bottom w:type="dxa" w:w="60"/>
              <w:right w:type="dxa" w:w="100"/>
            </w:tcMar>
          </w:tcPr>
          <w:p>
            <w:pPr>
              <w:jc w:val="center"/>
            </w:pPr>
            <w:r>
              <w:rPr>
                <w:rFonts w:ascii="Arial" w:cs="Arial" w:eastAsia="Arial" w:hAnsi="Arial"/>
                <w:b w:val="false"/>
                <w:bCs w:val="false"/>
                <w:i w:val="false"/>
                <w:iCs w:val="false"/>
                <w:color w:val="2D6A2D"/>
                <w:sz w:val="18"/>
                <w:szCs w:val="18"/>
              </w:rPr>
              <w:t xml:space="preserve">16</w:t>
            </w:r>
          </w:p>
        </w:tc>
        <w:tc>
          <w:tcPr>
            <w:tcW w:type="dxa" w:w="1100"/>
            <w:tcBorders>
              <w:top w:val="single" w:color="C8D4E4" w:sz="1"/>
              <w:left w:val="single" w:color="C8D4E4" w:sz="1"/>
              <w:bottom w:val="single" w:color="C8D4E4" w:sz="1"/>
              <w:right w:val="single" w:color="C8D4E4" w:sz="1"/>
            </w:tcBorders>
            <w:shd w:fill="FFF2CC" w:val="clear"/>
            <w:tcMar>
              <w:top w:type="dxa" w:w="60"/>
              <w:left w:type="dxa" w:w="100"/>
              <w:bottom w:type="dxa" w:w="60"/>
              <w:right w:type="dxa" w:w="100"/>
            </w:tcMar>
          </w:tcPr>
          <w:p>
            <w:pPr>
              <w:jc w:val="center"/>
            </w:pPr>
            <w:r>
              <w:rPr>
                <w:rFonts w:ascii="Arial" w:cs="Arial" w:eastAsia="Arial" w:hAnsi="Arial"/>
                <w:b w:val="false"/>
                <w:bCs w:val="false"/>
                <w:i w:val="false"/>
                <w:iCs w:val="false"/>
                <w:color w:val="B8860B"/>
                <w:sz w:val="18"/>
                <w:szCs w:val="18"/>
              </w:rPr>
              <w:t xml:space="preserve">18</w:t>
            </w:r>
          </w:p>
        </w:tc>
        <w:tc>
          <w:tcPr>
            <w:tcW w:type="dxa" w:w="1400"/>
            <w:tcBorders>
              <w:top w:val="single" w:color="C8D4E4" w:sz="1"/>
              <w:left w:val="single" w:color="C8D4E4" w:sz="1"/>
              <w:bottom w:val="single" w:color="C8D4E4" w:sz="1"/>
              <w:right w:val="single" w:color="C8D4E4" w:sz="1"/>
            </w:tcBorders>
            <w:shd w:fill="FCE4D6" w:val="clear"/>
            <w:tcMar>
              <w:top w:type="dxa" w:w="60"/>
              <w:left w:type="dxa" w:w="100"/>
              <w:bottom w:type="dxa" w:w="60"/>
              <w:right w:type="dxa" w:w="100"/>
            </w:tcMar>
          </w:tcPr>
          <w:p>
            <w:pPr>
              <w:jc w:val="center"/>
            </w:pPr>
            <w:r>
              <w:rPr>
                <w:rFonts w:ascii="Arial" w:cs="Arial" w:eastAsia="Arial" w:hAnsi="Arial"/>
                <w:b w:val="false"/>
                <w:bCs w:val="false"/>
                <w:i w:val="false"/>
                <w:iCs w:val="false"/>
                <w:color w:val="C00000"/>
                <w:sz w:val="18"/>
                <w:szCs w:val="18"/>
              </w:rPr>
              <w:t xml:space="preserve">8</w:t>
            </w:r>
          </w:p>
        </w:tc>
        <w:tc>
          <w:tcPr>
            <w:tcW w:type="dxa" w:w="1546"/>
            <w:tcBorders>
              <w:top w:val="single" w:color="C8D4E4" w:sz="1"/>
              <w:left w:val="single" w:color="C8D4E4" w:sz="1"/>
              <w:bottom w:val="single" w:color="C8D4E4" w:sz="1"/>
              <w:right w:val="single" w:color="C8D4E4" w:sz="1"/>
            </w:tcBorders>
            <w:shd w:fill="EEF1F7" w:val="clear"/>
            <w:tcMar>
              <w:top w:type="dxa" w:w="60"/>
              <w:left w:type="dxa" w:w="100"/>
              <w:bottom w:type="dxa" w:w="60"/>
              <w:right w:type="dxa" w:w="100"/>
            </w:tcMar>
          </w:tcPr>
          <w:p>
            <w:pPr>
              <w:jc w:val="center"/>
            </w:pPr>
            <w:r>
              <w:rPr>
                <w:rFonts w:ascii="Arial" w:cs="Arial" w:eastAsia="Arial" w:hAnsi="Arial"/>
                <w:b w:val="false"/>
                <w:bCs w:val="false"/>
                <w:i w:val="false"/>
                <w:iCs w:val="false"/>
                <w:color w:val="1A1A1A"/>
                <w:sz w:val="18"/>
                <w:szCs w:val="18"/>
              </w:rPr>
              <w:t xml:space="preserve">38.1%</w:t>
            </w:r>
          </w:p>
        </w:tc>
      </w:tr>
      <w:tr>
        <w:tc>
          <w:tcPr>
            <w:tcW w:type="dxa" w:w="3600"/>
            <w:tcBorders>
              <w:top w:val="single" w:color="C8D4E4" w:sz="1"/>
              <w:left w:val="single" w:color="C8D4E4" w:sz="1"/>
              <w:bottom w:val="single" w:color="C8D4E4" w:sz="1"/>
              <w:right w:val="single" w:color="C8D4E4"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B2A4A"/>
                <w:sz w:val="18"/>
                <w:szCs w:val="18"/>
              </w:rPr>
              <w:t xml:space="preserve">4. Third-Party Cybersecurity</w:t>
            </w:r>
          </w:p>
        </w:tc>
        <w:tc>
          <w:tcPr>
            <w:tcW w:type="dxa" w:w="1000"/>
            <w:tcBorders>
              <w:top w:val="single" w:color="C8D4E4" w:sz="1"/>
              <w:left w:val="single" w:color="C8D4E4" w:sz="1"/>
              <w:bottom w:val="single" w:color="C8D4E4" w:sz="1"/>
              <w:right w:val="single" w:color="C8D4E4"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A1A1A"/>
                <w:sz w:val="18"/>
                <w:szCs w:val="18"/>
              </w:rPr>
              <w:t xml:space="preserve">14</w:t>
            </w:r>
          </w:p>
        </w:tc>
        <w:tc>
          <w:tcPr>
            <w:tcW w:type="dxa" w:w="1100"/>
            <w:tcBorders>
              <w:top w:val="single" w:color="C8D4E4" w:sz="1"/>
              <w:left w:val="single" w:color="C8D4E4" w:sz="1"/>
              <w:bottom w:val="single" w:color="C8D4E4" w:sz="1"/>
              <w:right w:val="single" w:color="C8D4E4" w:sz="1"/>
            </w:tcBorders>
            <w:shd w:fill="E8F0E8" w:val="clear"/>
            <w:tcMar>
              <w:top w:type="dxa" w:w="60"/>
              <w:left w:type="dxa" w:w="100"/>
              <w:bottom w:type="dxa" w:w="60"/>
              <w:right w:type="dxa" w:w="100"/>
            </w:tcMar>
          </w:tcPr>
          <w:p>
            <w:pPr>
              <w:jc w:val="center"/>
            </w:pPr>
            <w:r>
              <w:rPr>
                <w:rFonts w:ascii="Arial" w:cs="Arial" w:eastAsia="Arial" w:hAnsi="Arial"/>
                <w:b w:val="false"/>
                <w:bCs w:val="false"/>
                <w:i w:val="false"/>
                <w:iCs w:val="false"/>
                <w:color w:val="2D6A2D"/>
                <w:sz w:val="18"/>
                <w:szCs w:val="18"/>
              </w:rPr>
              <w:t xml:space="preserve">3</w:t>
            </w:r>
          </w:p>
        </w:tc>
        <w:tc>
          <w:tcPr>
            <w:tcW w:type="dxa" w:w="1100"/>
            <w:tcBorders>
              <w:top w:val="single" w:color="C8D4E4" w:sz="1"/>
              <w:left w:val="single" w:color="C8D4E4" w:sz="1"/>
              <w:bottom w:val="single" w:color="C8D4E4" w:sz="1"/>
              <w:right w:val="single" w:color="C8D4E4" w:sz="1"/>
            </w:tcBorders>
            <w:shd w:fill="FFF2CC" w:val="clear"/>
            <w:tcMar>
              <w:top w:type="dxa" w:w="60"/>
              <w:left w:type="dxa" w:w="100"/>
              <w:bottom w:type="dxa" w:w="60"/>
              <w:right w:type="dxa" w:w="100"/>
            </w:tcMar>
          </w:tcPr>
          <w:p>
            <w:pPr>
              <w:jc w:val="center"/>
            </w:pPr>
            <w:r>
              <w:rPr>
                <w:rFonts w:ascii="Arial" w:cs="Arial" w:eastAsia="Arial" w:hAnsi="Arial"/>
                <w:b w:val="false"/>
                <w:bCs w:val="false"/>
                <w:i w:val="false"/>
                <w:iCs w:val="false"/>
                <w:color w:val="B8860B"/>
                <w:sz w:val="18"/>
                <w:szCs w:val="18"/>
              </w:rPr>
              <w:t xml:space="preserve">6</w:t>
            </w:r>
          </w:p>
        </w:tc>
        <w:tc>
          <w:tcPr>
            <w:tcW w:type="dxa" w:w="1400"/>
            <w:tcBorders>
              <w:top w:val="single" w:color="C8D4E4" w:sz="1"/>
              <w:left w:val="single" w:color="C8D4E4" w:sz="1"/>
              <w:bottom w:val="single" w:color="C8D4E4" w:sz="1"/>
              <w:right w:val="single" w:color="C8D4E4" w:sz="1"/>
            </w:tcBorders>
            <w:shd w:fill="FCE4D6" w:val="clear"/>
            <w:tcMar>
              <w:top w:type="dxa" w:w="60"/>
              <w:left w:type="dxa" w:w="100"/>
              <w:bottom w:type="dxa" w:w="60"/>
              <w:right w:type="dxa" w:w="100"/>
            </w:tcMar>
          </w:tcPr>
          <w:p>
            <w:pPr>
              <w:jc w:val="center"/>
            </w:pPr>
            <w:r>
              <w:rPr>
                <w:rFonts w:ascii="Arial" w:cs="Arial" w:eastAsia="Arial" w:hAnsi="Arial"/>
                <w:b w:val="false"/>
                <w:bCs w:val="false"/>
                <w:i w:val="false"/>
                <w:iCs w:val="false"/>
                <w:color w:val="C00000"/>
                <w:sz w:val="18"/>
                <w:szCs w:val="18"/>
              </w:rPr>
              <w:t xml:space="preserve">5</w:t>
            </w:r>
          </w:p>
        </w:tc>
        <w:tc>
          <w:tcPr>
            <w:tcW w:type="dxa" w:w="1546"/>
            <w:tcBorders>
              <w:top w:val="single" w:color="C8D4E4" w:sz="1"/>
              <w:left w:val="single" w:color="C8D4E4" w:sz="1"/>
              <w:bottom w:val="single" w:color="C8D4E4" w:sz="1"/>
              <w:right w:val="single" w:color="C8D4E4"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A1A1A"/>
                <w:sz w:val="18"/>
                <w:szCs w:val="18"/>
              </w:rPr>
              <w:t xml:space="preserve">21.4%</w:t>
            </w:r>
          </w:p>
        </w:tc>
      </w:tr>
      <w:tr>
        <w:tc>
          <w:tcPr>
            <w:tcW w:type="dxa" w:w="3600"/>
            <w:tcBorders>
              <w:top w:val="single" w:color="C8D4E4" w:sz="1"/>
              <w:left w:val="single" w:color="C8D4E4" w:sz="1"/>
              <w:bottom w:val="single" w:color="C8D4E4" w:sz="1"/>
              <w:right w:val="single" w:color="C8D4E4" w:sz="1"/>
            </w:tcBorders>
            <w:shd w:fill="EEF1F7" w:val="clear"/>
            <w:tcMar>
              <w:top w:type="dxa" w:w="60"/>
              <w:left w:type="dxa" w:w="100"/>
              <w:bottom w:type="dxa" w:w="60"/>
              <w:right w:type="dxa" w:w="100"/>
            </w:tcMar>
          </w:tcPr>
          <w:p>
            <w:r>
              <w:rPr>
                <w:rFonts w:ascii="Arial" w:cs="Arial" w:eastAsia="Arial" w:hAnsi="Arial"/>
                <w:b w:val="false"/>
                <w:bCs w:val="false"/>
                <w:i w:val="false"/>
                <w:iCs w:val="false"/>
                <w:color w:val="1B2A4A"/>
                <w:sz w:val="18"/>
                <w:szCs w:val="18"/>
              </w:rPr>
              <w:t xml:space="preserve">5. Cybersecurity Resilience</w:t>
            </w:r>
          </w:p>
        </w:tc>
        <w:tc>
          <w:tcPr>
            <w:tcW w:type="dxa" w:w="1000"/>
            <w:tcBorders>
              <w:top w:val="single" w:color="C8D4E4" w:sz="1"/>
              <w:left w:val="single" w:color="C8D4E4" w:sz="1"/>
              <w:bottom w:val="single" w:color="C8D4E4" w:sz="1"/>
              <w:right w:val="single" w:color="C8D4E4" w:sz="1"/>
            </w:tcBorders>
            <w:shd w:fill="EEF1F7" w:val="clear"/>
            <w:tcMar>
              <w:top w:type="dxa" w:w="60"/>
              <w:left w:type="dxa" w:w="100"/>
              <w:bottom w:type="dxa" w:w="60"/>
              <w:right w:type="dxa" w:w="100"/>
            </w:tcMar>
          </w:tcPr>
          <w:p>
            <w:pPr>
              <w:jc w:val="center"/>
            </w:pPr>
            <w:r>
              <w:rPr>
                <w:rFonts w:ascii="Arial" w:cs="Arial" w:eastAsia="Arial" w:hAnsi="Arial"/>
                <w:b w:val="false"/>
                <w:bCs w:val="false"/>
                <w:i w:val="false"/>
                <w:iCs w:val="false"/>
                <w:color w:val="1A1A1A"/>
                <w:sz w:val="18"/>
                <w:szCs w:val="18"/>
              </w:rPr>
              <w:t xml:space="preserve">12</w:t>
            </w:r>
          </w:p>
        </w:tc>
        <w:tc>
          <w:tcPr>
            <w:tcW w:type="dxa" w:w="1100"/>
            <w:tcBorders>
              <w:top w:val="single" w:color="C8D4E4" w:sz="1"/>
              <w:left w:val="single" w:color="C8D4E4" w:sz="1"/>
              <w:bottom w:val="single" w:color="C8D4E4" w:sz="1"/>
              <w:right w:val="single" w:color="C8D4E4" w:sz="1"/>
            </w:tcBorders>
            <w:shd w:fill="E8F0E8" w:val="clear"/>
            <w:tcMar>
              <w:top w:type="dxa" w:w="60"/>
              <w:left w:type="dxa" w:w="100"/>
              <w:bottom w:type="dxa" w:w="60"/>
              <w:right w:type="dxa" w:w="100"/>
            </w:tcMar>
          </w:tcPr>
          <w:p>
            <w:pPr>
              <w:jc w:val="center"/>
            </w:pPr>
            <w:r>
              <w:rPr>
                <w:rFonts w:ascii="Arial" w:cs="Arial" w:eastAsia="Arial" w:hAnsi="Arial"/>
                <w:b w:val="false"/>
                <w:bCs w:val="false"/>
                <w:i w:val="false"/>
                <w:iCs w:val="false"/>
                <w:color w:val="2D6A2D"/>
                <w:sz w:val="18"/>
                <w:szCs w:val="18"/>
              </w:rPr>
              <w:t xml:space="preserve">2</w:t>
            </w:r>
          </w:p>
        </w:tc>
        <w:tc>
          <w:tcPr>
            <w:tcW w:type="dxa" w:w="1100"/>
            <w:tcBorders>
              <w:top w:val="single" w:color="C8D4E4" w:sz="1"/>
              <w:left w:val="single" w:color="C8D4E4" w:sz="1"/>
              <w:bottom w:val="single" w:color="C8D4E4" w:sz="1"/>
              <w:right w:val="single" w:color="C8D4E4" w:sz="1"/>
            </w:tcBorders>
            <w:shd w:fill="FFF2CC" w:val="clear"/>
            <w:tcMar>
              <w:top w:type="dxa" w:w="60"/>
              <w:left w:type="dxa" w:w="100"/>
              <w:bottom w:type="dxa" w:w="60"/>
              <w:right w:type="dxa" w:w="100"/>
            </w:tcMar>
          </w:tcPr>
          <w:p>
            <w:pPr>
              <w:jc w:val="center"/>
            </w:pPr>
            <w:r>
              <w:rPr>
                <w:rFonts w:ascii="Arial" w:cs="Arial" w:eastAsia="Arial" w:hAnsi="Arial"/>
                <w:b w:val="false"/>
                <w:bCs w:val="false"/>
                <w:i w:val="false"/>
                <w:iCs w:val="false"/>
                <w:color w:val="B8860B"/>
                <w:sz w:val="18"/>
                <w:szCs w:val="18"/>
              </w:rPr>
              <w:t xml:space="preserve">5</w:t>
            </w:r>
          </w:p>
        </w:tc>
        <w:tc>
          <w:tcPr>
            <w:tcW w:type="dxa" w:w="1400"/>
            <w:tcBorders>
              <w:top w:val="single" w:color="C8D4E4" w:sz="1"/>
              <w:left w:val="single" w:color="C8D4E4" w:sz="1"/>
              <w:bottom w:val="single" w:color="C8D4E4" w:sz="1"/>
              <w:right w:val="single" w:color="C8D4E4" w:sz="1"/>
            </w:tcBorders>
            <w:shd w:fill="FCE4D6" w:val="clear"/>
            <w:tcMar>
              <w:top w:type="dxa" w:w="60"/>
              <w:left w:type="dxa" w:w="100"/>
              <w:bottom w:type="dxa" w:w="60"/>
              <w:right w:type="dxa" w:w="100"/>
            </w:tcMar>
          </w:tcPr>
          <w:p>
            <w:pPr>
              <w:jc w:val="center"/>
            </w:pPr>
            <w:r>
              <w:rPr>
                <w:rFonts w:ascii="Arial" w:cs="Arial" w:eastAsia="Arial" w:hAnsi="Arial"/>
                <w:b w:val="false"/>
                <w:bCs w:val="false"/>
                <w:i w:val="false"/>
                <w:iCs w:val="false"/>
                <w:color w:val="C00000"/>
                <w:sz w:val="18"/>
                <w:szCs w:val="18"/>
              </w:rPr>
              <w:t xml:space="preserve">5</w:t>
            </w:r>
          </w:p>
        </w:tc>
        <w:tc>
          <w:tcPr>
            <w:tcW w:type="dxa" w:w="1546"/>
            <w:tcBorders>
              <w:top w:val="single" w:color="C8D4E4" w:sz="1"/>
              <w:left w:val="single" w:color="C8D4E4" w:sz="1"/>
              <w:bottom w:val="single" w:color="C8D4E4" w:sz="1"/>
              <w:right w:val="single" w:color="C8D4E4" w:sz="1"/>
            </w:tcBorders>
            <w:shd w:fill="EEF1F7" w:val="clear"/>
            <w:tcMar>
              <w:top w:type="dxa" w:w="60"/>
              <w:left w:type="dxa" w:w="100"/>
              <w:bottom w:type="dxa" w:w="60"/>
              <w:right w:type="dxa" w:w="100"/>
            </w:tcMar>
          </w:tcPr>
          <w:p>
            <w:pPr>
              <w:jc w:val="center"/>
            </w:pPr>
            <w:r>
              <w:rPr>
                <w:rFonts w:ascii="Arial" w:cs="Arial" w:eastAsia="Arial" w:hAnsi="Arial"/>
                <w:b w:val="false"/>
                <w:bCs w:val="false"/>
                <w:i w:val="false"/>
                <w:iCs w:val="false"/>
                <w:color w:val="1A1A1A"/>
                <w:sz w:val="18"/>
                <w:szCs w:val="18"/>
              </w:rPr>
              <w:t xml:space="preserve">16.7%</w:t>
            </w:r>
          </w:p>
        </w:tc>
      </w:tr>
      <w:tr>
        <w:tc>
          <w:tcPr>
            <w:tcW w:type="dxa" w:w="3600"/>
            <w:tcBorders>
              <w:top w:val="single" w:color="C8D4E4" w:sz="1"/>
              <w:left w:val="single" w:color="C8D4E4" w:sz="1"/>
              <w:bottom w:val="single" w:color="C8D4E4" w:sz="1"/>
              <w:right w:val="single" w:color="C8D4E4" w:sz="1"/>
            </w:tcBorders>
            <w:shd w:fill="1B2A4A" w:val="clear"/>
            <w:tcMar>
              <w:top w:type="dxa" w:w="60"/>
              <w:left w:type="dxa" w:w="100"/>
              <w:bottom w:type="dxa" w:w="60"/>
              <w:right w:type="dxa" w:w="100"/>
            </w:tcMar>
          </w:tcPr>
          <w:p>
            <w:r>
              <w:rPr>
                <w:rFonts w:ascii="Arial" w:cs="Arial" w:eastAsia="Arial" w:hAnsi="Arial"/>
                <w:b/>
                <w:bCs/>
                <w:i w:val="false"/>
                <w:iCs w:val="false"/>
                <w:color w:val="C8A951"/>
                <w:sz w:val="18"/>
                <w:szCs w:val="18"/>
              </w:rPr>
              <w:t xml:space="preserve">TOTAL</w:t>
            </w:r>
          </w:p>
        </w:tc>
        <w:tc>
          <w:tcPr>
            <w:tcW w:type="dxa" w:w="1000"/>
            <w:tcBorders>
              <w:top w:val="single" w:color="C8D4E4" w:sz="1"/>
              <w:left w:val="single" w:color="C8D4E4" w:sz="1"/>
              <w:bottom w:val="single" w:color="C8D4E4" w:sz="1"/>
              <w:right w:val="single" w:color="C8D4E4" w:sz="1"/>
            </w:tcBorders>
            <w:shd w:fill="1B2A4A" w:val="clear"/>
            <w:tcMar>
              <w:top w:type="dxa" w:w="60"/>
              <w:left w:type="dxa" w:w="100"/>
              <w:bottom w:type="dxa" w:w="60"/>
              <w:right w:type="dxa" w:w="100"/>
            </w:tcMar>
          </w:tcPr>
          <w:p>
            <w:pPr>
              <w:jc w:val="center"/>
            </w:pPr>
            <w:r>
              <w:rPr>
                <w:rFonts w:ascii="Arial" w:cs="Arial" w:eastAsia="Arial" w:hAnsi="Arial"/>
                <w:b/>
                <w:bCs/>
                <w:i w:val="false"/>
                <w:iCs w:val="false"/>
                <w:color w:val="FFFFFF"/>
                <w:sz w:val="18"/>
                <w:szCs w:val="18"/>
              </w:rPr>
              <w:t xml:space="preserve">114</w:t>
            </w:r>
          </w:p>
        </w:tc>
        <w:tc>
          <w:tcPr>
            <w:tcW w:type="dxa" w:w="1100"/>
            <w:tcBorders>
              <w:top w:val="single" w:color="C8D4E4" w:sz="1"/>
              <w:left w:val="single" w:color="C8D4E4" w:sz="1"/>
              <w:bottom w:val="single" w:color="C8D4E4" w:sz="1"/>
              <w:right w:val="single" w:color="C8D4E4" w:sz="1"/>
            </w:tcBorders>
            <w:shd w:fill="1B2A4A" w:val="clear"/>
            <w:tcMar>
              <w:top w:type="dxa" w:w="60"/>
              <w:left w:type="dxa" w:w="100"/>
              <w:bottom w:type="dxa" w:w="60"/>
              <w:right w:type="dxa" w:w="100"/>
            </w:tcMar>
          </w:tcPr>
          <w:p>
            <w:pPr>
              <w:jc w:val="center"/>
            </w:pPr>
            <w:r>
              <w:rPr>
                <w:rFonts w:ascii="Arial" w:cs="Arial" w:eastAsia="Arial" w:hAnsi="Arial"/>
                <w:b/>
                <w:bCs/>
                <w:i w:val="false"/>
                <w:iCs w:val="false"/>
                <w:color w:val="FFFFFF"/>
                <w:sz w:val="18"/>
                <w:szCs w:val="18"/>
              </w:rPr>
              <w:t xml:space="preserve">33</w:t>
            </w:r>
          </w:p>
        </w:tc>
        <w:tc>
          <w:tcPr>
            <w:tcW w:type="dxa" w:w="1100"/>
            <w:tcBorders>
              <w:top w:val="single" w:color="C8D4E4" w:sz="1"/>
              <w:left w:val="single" w:color="C8D4E4" w:sz="1"/>
              <w:bottom w:val="single" w:color="C8D4E4" w:sz="1"/>
              <w:right w:val="single" w:color="C8D4E4" w:sz="1"/>
            </w:tcBorders>
            <w:shd w:fill="1B2A4A" w:val="clear"/>
            <w:tcMar>
              <w:top w:type="dxa" w:w="60"/>
              <w:left w:type="dxa" w:w="100"/>
              <w:bottom w:type="dxa" w:w="60"/>
              <w:right w:type="dxa" w:w="100"/>
            </w:tcMar>
          </w:tcPr>
          <w:p>
            <w:pPr>
              <w:jc w:val="center"/>
            </w:pPr>
            <w:r>
              <w:rPr>
                <w:rFonts w:ascii="Arial" w:cs="Arial" w:eastAsia="Arial" w:hAnsi="Arial"/>
                <w:b/>
                <w:bCs/>
                <w:i w:val="false"/>
                <w:iCs w:val="false"/>
                <w:color w:val="FFFFFF"/>
                <w:sz w:val="18"/>
                <w:szCs w:val="18"/>
              </w:rPr>
              <w:t xml:space="preserve">48</w:t>
            </w:r>
          </w:p>
        </w:tc>
        <w:tc>
          <w:tcPr>
            <w:tcW w:type="dxa" w:w="1400"/>
            <w:tcBorders>
              <w:top w:val="single" w:color="C8D4E4" w:sz="1"/>
              <w:left w:val="single" w:color="C8D4E4" w:sz="1"/>
              <w:bottom w:val="single" w:color="C8D4E4" w:sz="1"/>
              <w:right w:val="single" w:color="C8D4E4" w:sz="1"/>
            </w:tcBorders>
            <w:shd w:fill="1B2A4A" w:val="clear"/>
            <w:tcMar>
              <w:top w:type="dxa" w:w="60"/>
              <w:left w:type="dxa" w:w="100"/>
              <w:bottom w:type="dxa" w:w="60"/>
              <w:right w:type="dxa" w:w="100"/>
            </w:tcMar>
          </w:tcPr>
          <w:p>
            <w:pPr>
              <w:jc w:val="center"/>
            </w:pPr>
            <w:r>
              <w:rPr>
                <w:rFonts w:ascii="Arial" w:cs="Arial" w:eastAsia="Arial" w:hAnsi="Arial"/>
                <w:b/>
                <w:bCs/>
                <w:i w:val="false"/>
                <w:iCs w:val="false"/>
                <w:color w:val="FFFFFF"/>
                <w:sz w:val="18"/>
                <w:szCs w:val="18"/>
              </w:rPr>
              <w:t xml:space="preserve">33</w:t>
            </w:r>
          </w:p>
        </w:tc>
        <w:tc>
          <w:tcPr>
            <w:tcW w:type="dxa" w:w="1546"/>
            <w:tcBorders>
              <w:top w:val="single" w:color="C8D4E4" w:sz="1"/>
              <w:left w:val="single" w:color="C8D4E4" w:sz="1"/>
              <w:bottom w:val="single" w:color="C8D4E4" w:sz="1"/>
              <w:right w:val="single" w:color="C8D4E4" w:sz="1"/>
            </w:tcBorders>
            <w:shd w:fill="FCE4D6" w:val="clear"/>
            <w:tcMar>
              <w:top w:type="dxa" w:w="60"/>
              <w:left w:type="dxa" w:w="100"/>
              <w:bottom w:type="dxa" w:w="60"/>
              <w:right w:type="dxa" w:w="100"/>
            </w:tcMar>
          </w:tcPr>
          <w:p>
            <w:pPr>
              <w:jc w:val="center"/>
            </w:pPr>
            <w:r>
              <w:rPr>
                <w:rFonts w:ascii="Arial" w:cs="Arial" w:eastAsia="Arial" w:hAnsi="Arial"/>
                <w:b/>
                <w:bCs/>
                <w:i w:val="false"/>
                <w:iCs w:val="false"/>
                <w:color w:val="C00000"/>
                <w:sz w:val="18"/>
                <w:szCs w:val="18"/>
              </w:rPr>
              <w:t xml:space="preserve">29.0%</w:t>
            </w:r>
          </w:p>
        </w:tc>
      </w:tr>
    </w:tbl>
    <w:p>
      <w:pPr>
        <w:spacing w:after="0" w:before="160"/>
      </w:pPr>
      <w:r>
        <w:t xml:space="preserve"/>
      </w:r>
    </w:p>
    <w:p>
      <w:pPr>
        <w:spacing w:after="120" w:before="80"/>
        <w:jc w:val="both"/>
      </w:pPr>
      <w:r>
        <w:rPr>
          <w:rFonts w:ascii="Arial" w:cs="Arial" w:eastAsia="Arial" w:hAnsi="Arial"/>
          <w:b w:val="false"/>
          <w:bCs w:val="false"/>
          <w:i w:val="false"/>
          <w:iCs w:val="false"/>
          <w:color w:val="1A1A1A"/>
          <w:sz w:val="20"/>
          <w:szCs w:val="20"/>
        </w:rPr>
        <w:t xml:space="preserve">The lowest conformance rates are observed in Cybersecurity Resilience (16.7%) and Third-Party Cybersecurity (21.4%), where foundational controls — business continuity planning and vendor security requirements — are entirely absent. Cybersecurity Governance (28.6%) and Risk Management (22.2%) conformance reflects the absence of a formal governance structure and risk management programme. Cybersecurity Operations achieves the highest conformance (38.1%) due to the presence of basic technical controls including perimeter firewall, endpoint protection, and email security, though significant gaps remain in privileged access management, vulnerability management, incident response, and log retention.</w:t>
      </w:r>
    </w:p>
    <w:p>
      <w:pPr>
        <w:spacing w:after="0" w:before="120"/>
      </w:pPr>
      <w:r>
        <w:t xml:space="preserve"/>
      </w:r>
    </w:p>
    <w:p>
      <w:pPr>
        <w:pStyle w:val="Heading2"/>
        <w:spacing w:after="120" w:before="240"/>
      </w:pPr>
      <w:r>
        <w:rPr>
          <w:rFonts w:ascii="Arial" w:cs="Arial" w:eastAsia="Arial" w:hAnsi="Arial"/>
          <w:b/>
          <w:bCs/>
          <w:i w:val="false"/>
          <w:iCs w:val="false"/>
          <w:color w:val="1B2A4A"/>
          <w:sz w:val="22"/>
          <w:szCs w:val="22"/>
        </w:rPr>
        <w:t xml:space="preserve">3.2  Critical Findings</w:t>
      </w:r>
    </w:p>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7046"/>
        <w:gridCol w:w="1500"/>
      </w:tblGrid>
      <w:tr>
        <w:tc>
          <w:tcPr>
            <w:tcW w:type="dxa" w:w="1200"/>
            <w:tcBorders>
              <w:top w:val="single" w:color="C8D4E4" w:sz="1"/>
              <w:left w:val="single" w:color="C8D4E4" w:sz="1"/>
              <w:bottom w:val="single" w:color="C8D4E4" w:sz="1"/>
              <w:right w:val="single" w:color="C8D4E4"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C8A951"/>
                <w:sz w:val="20"/>
                <w:szCs w:val="20"/>
              </w:rPr>
              <w:t xml:space="preserve">F-001</w:t>
            </w:r>
          </w:p>
        </w:tc>
        <w:tc>
          <w:tcPr>
            <w:tcW w:type="dxa" w:w="7046"/>
            <w:tcBorders>
              <w:top w:val="single" w:color="C8D4E4" w:sz="1"/>
              <w:left w:val="single" w:color="C8D4E4" w:sz="1"/>
              <w:bottom w:val="single" w:color="C8D4E4" w:sz="1"/>
              <w:right w:val="single" w:color="C8D4E4" w:sz="1"/>
            </w:tcBorders>
            <w:shd w:fill="1B2A4A"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No Cybersecurity Strategy or Governance Structure</w:t>
            </w:r>
          </w:p>
        </w:tc>
        <w:tc>
          <w:tcPr>
            <w:tcW w:type="dxa" w:w="1500"/>
            <w:tcBorders>
              <w:top w:val="single" w:color="C8D4E4" w:sz="1"/>
              <w:left w:val="single" w:color="C8D4E4" w:sz="1"/>
              <w:bottom w:val="single" w:color="C8D4E4" w:sz="1"/>
              <w:right w:val="single" w:color="C8D4E4"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Critical</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8D4E4" w:sz="1"/>
              <w:left w:val="single" w:color="C8D4E4" w:sz="1"/>
              <w:bottom w:val="single" w:color="C8D4E4" w:sz="1"/>
              <w:right w:val="single" w:color="C8D4E4" w:sz="1"/>
            </w:tcBorders>
            <w:shd w:fill="EEF1F7" w:val="clear"/>
            <w:tcMar>
              <w:top w:type="dxa" w:w="60"/>
              <w:left w:type="dxa" w:w="120"/>
              <w:bottom w:type="dxa" w:w="60"/>
              <w:right w:type="dxa" w:w="120"/>
            </w:tcMar>
          </w:tcPr>
          <w:p>
            <w:r>
              <w:rPr>
                <w:rFonts w:ascii="Arial" w:cs="Arial" w:eastAsia="Arial" w:hAnsi="Arial"/>
                <w:b/>
                <w:bCs/>
                <w:i w:val="false"/>
                <w:iCs w:val="false"/>
                <w:color w:val="1B2A4A"/>
                <w:sz w:val="19"/>
                <w:szCs w:val="19"/>
              </w:rPr>
              <w:t xml:space="preserve">ECC Domain</w:t>
            </w:r>
          </w:p>
        </w:tc>
        <w:tc>
          <w:tcPr>
            <w:tcW w:type="dxa" w:w="7746"/>
            <w:tcBorders>
              <w:top w:val="single" w:color="C8D4E4" w:sz="1"/>
              <w:left w:val="single" w:color="C8D4E4" w:sz="1"/>
              <w:bottom w:val="single" w:color="C8D4E4" w:sz="1"/>
              <w:right w:val="single" w:color="C8D4E4" w:sz="1"/>
            </w:tcBorders>
            <w:tcMar>
              <w:top w:type="dxa" w:w="60"/>
              <w:left w:type="dxa" w:w="120"/>
              <w:bottom w:type="dxa" w:w="60"/>
              <w:right w:type="dxa" w:w="120"/>
            </w:tcMar>
          </w:tcPr>
          <w:p>
            <w:r>
              <w:rPr>
                <w:rFonts w:ascii="Arial" w:cs="Arial" w:eastAsia="Arial" w:hAnsi="Arial"/>
                <w:b w:val="false"/>
                <w:bCs w:val="false"/>
                <w:i w:val="false"/>
                <w:iCs w:val="false"/>
                <w:color w:val="1A1A1A"/>
                <w:sz w:val="19"/>
                <w:szCs w:val="19"/>
              </w:rPr>
              <w:t xml:space="preserve">Domain 1 — Cybersecurity Governance (ECC 1-1, 1-2, 1-3)</w:t>
            </w:r>
          </w:p>
        </w:tc>
      </w:tr>
      <w:tr>
        <w:tc>
          <w:tcPr>
            <w:tcW w:type="dxa" w:w="2000"/>
            <w:tcBorders>
              <w:top w:val="single" w:color="C8D4E4" w:sz="1"/>
              <w:left w:val="single" w:color="C8D4E4" w:sz="1"/>
              <w:bottom w:val="single" w:color="C8D4E4" w:sz="1"/>
              <w:right w:val="single" w:color="C8D4E4" w:sz="1"/>
            </w:tcBorders>
            <w:shd w:fill="EEF1F7" w:val="clear"/>
            <w:tcMar>
              <w:top w:type="dxa" w:w="60"/>
              <w:left w:type="dxa" w:w="120"/>
              <w:bottom w:type="dxa" w:w="60"/>
              <w:right w:type="dxa" w:w="120"/>
            </w:tcMar>
          </w:tcPr>
          <w:p>
            <w:r>
              <w:rPr>
                <w:rFonts w:ascii="Arial" w:cs="Arial" w:eastAsia="Arial" w:hAnsi="Arial"/>
                <w:b/>
                <w:bCs/>
                <w:i w:val="false"/>
                <w:iCs w:val="false"/>
                <w:color w:val="1B2A4A"/>
                <w:sz w:val="19"/>
                <w:szCs w:val="19"/>
              </w:rPr>
              <w:t xml:space="preserve">Risk Reference</w:t>
            </w:r>
          </w:p>
        </w:tc>
        <w:tc>
          <w:tcPr>
            <w:tcW w:type="dxa" w:w="7746"/>
            <w:tcBorders>
              <w:top w:val="single" w:color="C8D4E4" w:sz="1"/>
              <w:left w:val="single" w:color="C8D4E4" w:sz="1"/>
              <w:bottom w:val="single" w:color="C8D4E4" w:sz="1"/>
              <w:right w:val="single" w:color="C8D4E4" w:sz="1"/>
            </w:tcBorders>
            <w:tcMar>
              <w:top w:type="dxa" w:w="60"/>
              <w:left w:type="dxa" w:w="120"/>
              <w:bottom w:type="dxa" w:w="60"/>
              <w:right w:type="dxa" w:w="120"/>
            </w:tcMar>
          </w:tcPr>
          <w:p>
            <w:r>
              <w:rPr>
                <w:rFonts w:ascii="Arial" w:cs="Arial" w:eastAsia="Arial" w:hAnsi="Arial"/>
                <w:b w:val="false"/>
                <w:bCs w:val="false"/>
                <w:i w:val="false"/>
                <w:iCs w:val="false"/>
                <w:color w:val="1A1A1A"/>
                <w:sz w:val="19"/>
                <w:szCs w:val="19"/>
              </w:rPr>
              <w:t xml:space="preserve">R-001 (L5 × I4 = 20 — Critical)</w:t>
            </w:r>
          </w:p>
        </w:tc>
      </w:tr>
    </w:tbl>
    <w:p>
      <w:pPr>
        <w:spacing w:after="0" w:before="80"/>
      </w:pPr>
      <w:r>
        <w:t xml:space="preserve"/>
      </w:r>
    </w:p>
    <w:p>
      <w:pPr>
        <w:spacing w:after="40" w:before="60"/>
      </w:pPr>
      <w:r>
        <w:rPr>
          <w:rFonts w:ascii="Arial" w:cs="Arial" w:eastAsia="Arial" w:hAnsi="Arial"/>
          <w:b/>
          <w:bCs/>
          <w:i w:val="false"/>
          <w:iCs w:val="false"/>
          <w:color w:val="1B2A4A"/>
          <w:sz w:val="20"/>
          <w:szCs w:val="20"/>
        </w:rPr>
        <w:t xml:space="preserve">Finding</w:t>
      </w:r>
    </w:p>
    <w:p>
      <w:pPr>
        <w:spacing w:after="120" w:before="80"/>
        <w:jc w:val="both"/>
      </w:pPr>
      <w:r>
        <w:rPr>
          <w:rFonts w:ascii="Arial" w:cs="Arial" w:eastAsia="Arial" w:hAnsi="Arial"/>
          <w:b w:val="false"/>
          <w:bCs w:val="false"/>
          <w:i w:val="false"/>
          <w:iCs w:val="false"/>
          <w:color w:val="1A1A1A"/>
          <w:sz w:val="20"/>
          <w:szCs w:val="20"/>
        </w:rPr>
        <w:t xml:space="preserve">Al Ameen Insurance Company has no documented cybersecurity strategy. Cybersecurity is not represented at Board or Senior Management level as a formal discipline. No cybersecurity policies, standards, or procedures have been formally approved, documented, or communicated to the organisation. Security-related decisions are made on an ad hoc basis by the IT Operations Manager without a defined mandate, framework, or escalation path. The organisation has no cybersecurity governance structure from which to derive objectives, assign accountability, or track performance.</w:t>
      </w:r>
    </w:p>
    <w:p>
      <w:pPr>
        <w:spacing w:after="40" w:before="60"/>
      </w:pPr>
      <w:r>
        <w:rPr>
          <w:rFonts w:ascii="Arial" w:cs="Arial" w:eastAsia="Arial" w:hAnsi="Arial"/>
          <w:b/>
          <w:bCs/>
          <w:i w:val="false"/>
          <w:iCs w:val="false"/>
          <w:color w:val="1B2A4A"/>
          <w:sz w:val="20"/>
          <w:szCs w:val="20"/>
        </w:rPr>
        <w:t xml:space="preserve">Evidence Reviewed</w:t>
      </w:r>
    </w:p>
    <w:p>
      <w:pPr>
        <w:spacing w:after="120" w:before="80"/>
        <w:jc w:val="both"/>
      </w:pPr>
      <w:r>
        <w:rPr>
          <w:rFonts w:ascii="Arial" w:cs="Arial" w:eastAsia="Arial" w:hAnsi="Arial"/>
          <w:b w:val="false"/>
          <w:bCs w:val="false"/>
          <w:i w:val="false"/>
          <w:iCs w:val="false"/>
          <w:color w:val="1A1A1A"/>
          <w:sz w:val="20"/>
          <w:szCs w:val="20"/>
        </w:rPr>
        <w:t xml:space="preserve">Management interviews confirmed the absence of a cybersecurity strategy document. No policy framework was presented during evidence review. Board and senior management meeting minutes reviewed for the period January to June 2024 contained no reference to cybersecurity as a standing agenda item. IT Operations Manager acknowledged that no formal cybersecurity mandate has been defined.</w:t>
      </w:r>
    </w:p>
    <w:p>
      <w:pPr>
        <w:spacing w:after="40" w:before="60"/>
      </w:pPr>
      <w:r>
        <w:rPr>
          <w:rFonts w:ascii="Arial" w:cs="Arial" w:eastAsia="Arial" w:hAnsi="Arial"/>
          <w:b/>
          <w:bCs/>
          <w:i w:val="false"/>
          <w:iCs w:val="false"/>
          <w:color w:val="1B2A4A"/>
          <w:sz w:val="20"/>
          <w:szCs w:val="20"/>
        </w:rPr>
        <w:t xml:space="preserve">Root Cause</w:t>
      </w:r>
    </w:p>
    <w:p>
      <w:pPr>
        <w:spacing w:after="120" w:before="80"/>
        <w:jc w:val="both"/>
      </w:pPr>
      <w:r>
        <w:rPr>
          <w:rFonts w:ascii="Arial" w:cs="Arial" w:eastAsia="Arial" w:hAnsi="Arial"/>
          <w:b w:val="false"/>
          <w:bCs w:val="false"/>
          <w:i w:val="false"/>
          <w:iCs w:val="false"/>
          <w:color w:val="1A1A1A"/>
          <w:sz w:val="20"/>
          <w:szCs w:val="20"/>
        </w:rPr>
        <w:t xml:space="preserve">Cybersecurity has not been established as a formal organisational function. The absence of senior-level sponsorship means that cybersecurity investment, policy development, and risk management have no formal driver. This reflects a structural gap rather than an implementation gap — the governance foundation from which all other controls derive has not been established.</w:t>
      </w:r>
    </w:p>
    <w:p>
      <w:pPr>
        <w:spacing w:after="40" w:before="60"/>
      </w:pPr>
      <w:r>
        <w:rPr>
          <w:rFonts w:ascii="Arial" w:cs="Arial" w:eastAsia="Arial" w:hAnsi="Arial"/>
          <w:b/>
          <w:bCs/>
          <w:i w:val="false"/>
          <w:iCs w:val="false"/>
          <w:color w:val="1B2A4A"/>
          <w:sz w:val="20"/>
          <w:szCs w:val="20"/>
        </w:rPr>
        <w:t xml:space="preserve">Recommendation</w:t>
      </w:r>
    </w:p>
    <w:p>
      <w:pPr>
        <w:spacing w:after="120" w:before="80"/>
        <w:jc w:val="both"/>
      </w:pPr>
      <w:r>
        <w:rPr>
          <w:rFonts w:ascii="Arial" w:cs="Arial" w:eastAsia="Arial" w:hAnsi="Arial"/>
          <w:b w:val="false"/>
          <w:bCs w:val="false"/>
          <w:i w:val="false"/>
          <w:iCs w:val="false"/>
          <w:color w:val="1A1A1A"/>
          <w:sz w:val="20"/>
          <w:szCs w:val="20"/>
        </w:rPr>
        <w:t xml:space="preserve">Appoint a CISO or designate a senior management cybersecurity accountable person with a formal mandate, defined responsibilities, and direct reporting line to the Board or CEO. Develop and approve a Cybersecurity Strategy aligned to NCA ECC-1:2018 and SAMA CSF requirements. Establish a cybersecurity policy framework covering all key control domains. Include cybersecurity as a standing item on the Board and senior management agenda with quarterly reporting.</w:t>
      </w:r>
    </w:p>
    <w:p>
      <w:pPr>
        <w:spacing w:after="0" w:before="1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7046"/>
        <w:gridCol w:w="1500"/>
      </w:tblGrid>
      <w:tr>
        <w:tc>
          <w:tcPr>
            <w:tcW w:type="dxa" w:w="1200"/>
            <w:tcBorders>
              <w:top w:val="single" w:color="C8D4E4" w:sz="1"/>
              <w:left w:val="single" w:color="C8D4E4" w:sz="1"/>
              <w:bottom w:val="single" w:color="C8D4E4" w:sz="1"/>
              <w:right w:val="single" w:color="C8D4E4"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C8A951"/>
                <w:sz w:val="20"/>
                <w:szCs w:val="20"/>
              </w:rPr>
              <w:t xml:space="preserve">F-002</w:t>
            </w:r>
          </w:p>
        </w:tc>
        <w:tc>
          <w:tcPr>
            <w:tcW w:type="dxa" w:w="7046"/>
            <w:tcBorders>
              <w:top w:val="single" w:color="C8D4E4" w:sz="1"/>
              <w:left w:val="single" w:color="C8D4E4" w:sz="1"/>
              <w:bottom w:val="single" w:color="C8D4E4" w:sz="1"/>
              <w:right w:val="single" w:color="C8D4E4" w:sz="1"/>
            </w:tcBorders>
            <w:shd w:fill="1B2A4A"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No Designated CISO or Cybersecurity Accountability at Senior Level</w:t>
            </w:r>
          </w:p>
        </w:tc>
        <w:tc>
          <w:tcPr>
            <w:tcW w:type="dxa" w:w="1500"/>
            <w:tcBorders>
              <w:top w:val="single" w:color="C8D4E4" w:sz="1"/>
              <w:left w:val="single" w:color="C8D4E4" w:sz="1"/>
              <w:bottom w:val="single" w:color="C8D4E4" w:sz="1"/>
              <w:right w:val="single" w:color="C8D4E4"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Critical</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8D4E4" w:sz="1"/>
              <w:left w:val="single" w:color="C8D4E4" w:sz="1"/>
              <w:bottom w:val="single" w:color="C8D4E4" w:sz="1"/>
              <w:right w:val="single" w:color="C8D4E4" w:sz="1"/>
            </w:tcBorders>
            <w:shd w:fill="EEF1F7" w:val="clear"/>
            <w:tcMar>
              <w:top w:type="dxa" w:w="60"/>
              <w:left w:type="dxa" w:w="120"/>
              <w:bottom w:type="dxa" w:w="60"/>
              <w:right w:type="dxa" w:w="120"/>
            </w:tcMar>
          </w:tcPr>
          <w:p>
            <w:r>
              <w:rPr>
                <w:rFonts w:ascii="Arial" w:cs="Arial" w:eastAsia="Arial" w:hAnsi="Arial"/>
                <w:b/>
                <w:bCs/>
                <w:i w:val="false"/>
                <w:iCs w:val="false"/>
                <w:color w:val="1B2A4A"/>
                <w:sz w:val="19"/>
                <w:szCs w:val="19"/>
              </w:rPr>
              <w:t xml:space="preserve">ECC Domain</w:t>
            </w:r>
          </w:p>
        </w:tc>
        <w:tc>
          <w:tcPr>
            <w:tcW w:type="dxa" w:w="7746"/>
            <w:tcBorders>
              <w:top w:val="single" w:color="C8D4E4" w:sz="1"/>
              <w:left w:val="single" w:color="C8D4E4" w:sz="1"/>
              <w:bottom w:val="single" w:color="C8D4E4" w:sz="1"/>
              <w:right w:val="single" w:color="C8D4E4" w:sz="1"/>
            </w:tcBorders>
            <w:tcMar>
              <w:top w:type="dxa" w:w="60"/>
              <w:left w:type="dxa" w:w="120"/>
              <w:bottom w:type="dxa" w:w="60"/>
              <w:right w:type="dxa" w:w="120"/>
            </w:tcMar>
          </w:tcPr>
          <w:p>
            <w:r>
              <w:rPr>
                <w:rFonts w:ascii="Arial" w:cs="Arial" w:eastAsia="Arial" w:hAnsi="Arial"/>
                <w:b w:val="false"/>
                <w:bCs w:val="false"/>
                <w:i w:val="false"/>
                <w:iCs w:val="false"/>
                <w:color w:val="1A1A1A"/>
                <w:sz w:val="19"/>
                <w:szCs w:val="19"/>
              </w:rPr>
              <w:t xml:space="preserve">Domain 1 — Cybersecurity Governance (ECC 1-2)</w:t>
            </w:r>
          </w:p>
        </w:tc>
      </w:tr>
      <w:tr>
        <w:tc>
          <w:tcPr>
            <w:tcW w:type="dxa" w:w="2000"/>
            <w:tcBorders>
              <w:top w:val="single" w:color="C8D4E4" w:sz="1"/>
              <w:left w:val="single" w:color="C8D4E4" w:sz="1"/>
              <w:bottom w:val="single" w:color="C8D4E4" w:sz="1"/>
              <w:right w:val="single" w:color="C8D4E4" w:sz="1"/>
            </w:tcBorders>
            <w:shd w:fill="EEF1F7" w:val="clear"/>
            <w:tcMar>
              <w:top w:type="dxa" w:w="60"/>
              <w:left w:type="dxa" w:w="120"/>
              <w:bottom w:type="dxa" w:w="60"/>
              <w:right w:type="dxa" w:w="120"/>
            </w:tcMar>
          </w:tcPr>
          <w:p>
            <w:r>
              <w:rPr>
                <w:rFonts w:ascii="Arial" w:cs="Arial" w:eastAsia="Arial" w:hAnsi="Arial"/>
                <w:b/>
                <w:bCs/>
                <w:i w:val="false"/>
                <w:iCs w:val="false"/>
                <w:color w:val="1B2A4A"/>
                <w:sz w:val="19"/>
                <w:szCs w:val="19"/>
              </w:rPr>
              <w:t xml:space="preserve">Risk Reference</w:t>
            </w:r>
          </w:p>
        </w:tc>
        <w:tc>
          <w:tcPr>
            <w:tcW w:type="dxa" w:w="7746"/>
            <w:tcBorders>
              <w:top w:val="single" w:color="C8D4E4" w:sz="1"/>
              <w:left w:val="single" w:color="C8D4E4" w:sz="1"/>
              <w:bottom w:val="single" w:color="C8D4E4" w:sz="1"/>
              <w:right w:val="single" w:color="C8D4E4" w:sz="1"/>
            </w:tcBorders>
            <w:tcMar>
              <w:top w:type="dxa" w:w="60"/>
              <w:left w:type="dxa" w:w="120"/>
              <w:bottom w:type="dxa" w:w="60"/>
              <w:right w:type="dxa" w:w="120"/>
            </w:tcMar>
          </w:tcPr>
          <w:p>
            <w:r>
              <w:rPr>
                <w:rFonts w:ascii="Arial" w:cs="Arial" w:eastAsia="Arial" w:hAnsi="Arial"/>
                <w:b w:val="false"/>
                <w:bCs w:val="false"/>
                <w:i w:val="false"/>
                <w:iCs w:val="false"/>
                <w:color w:val="1A1A1A"/>
                <w:sz w:val="19"/>
                <w:szCs w:val="19"/>
              </w:rPr>
              <w:t xml:space="preserve">R-001 (L5 × I4 = 20 — Critical)</w:t>
            </w:r>
          </w:p>
        </w:tc>
      </w:tr>
    </w:tbl>
    <w:p>
      <w:pPr>
        <w:spacing w:after="0" w:before="80"/>
      </w:pPr>
      <w:r>
        <w:t xml:space="preserve"/>
      </w:r>
    </w:p>
    <w:p>
      <w:pPr>
        <w:spacing w:after="40" w:before="60"/>
      </w:pPr>
      <w:r>
        <w:rPr>
          <w:rFonts w:ascii="Arial" w:cs="Arial" w:eastAsia="Arial" w:hAnsi="Arial"/>
          <w:b/>
          <w:bCs/>
          <w:i w:val="false"/>
          <w:iCs w:val="false"/>
          <w:color w:val="1B2A4A"/>
          <w:sz w:val="20"/>
          <w:szCs w:val="20"/>
        </w:rPr>
        <w:t xml:space="preserve">Finding</w:t>
      </w:r>
    </w:p>
    <w:p>
      <w:pPr>
        <w:spacing w:after="120" w:before="80"/>
        <w:jc w:val="both"/>
      </w:pPr>
      <w:r>
        <w:rPr>
          <w:rFonts w:ascii="Arial" w:cs="Arial" w:eastAsia="Arial" w:hAnsi="Arial"/>
          <w:b w:val="false"/>
          <w:bCs w:val="false"/>
          <w:i w:val="false"/>
          <w:iCs w:val="false"/>
          <w:color w:val="1A1A1A"/>
          <w:sz w:val="20"/>
          <w:szCs w:val="20"/>
        </w:rPr>
        <w:t xml:space="preserve">There is no CISO or equivalent designated cybersecurity role within Al Ameen Insurance Company. The IT Operations Manager informally carries security responsibilities alongside infrastructure and operational duties without a formal appointment, defined authority, or dedicated time allocation. No cybersecurity roles, responsibilities, or accountability structure has been defined at any level of the organisation. NCA ECC-1:2018 requires a designated cybersecurity function with clear accountability at a senior level. SAMA CSF similarly requires demonstrable cybersecurity leadership as a prerequisite for maturity progression.</w:t>
      </w:r>
    </w:p>
    <w:p>
      <w:pPr>
        <w:spacing w:after="40" w:before="60"/>
      </w:pPr>
      <w:r>
        <w:rPr>
          <w:rFonts w:ascii="Arial" w:cs="Arial" w:eastAsia="Arial" w:hAnsi="Arial"/>
          <w:b/>
          <w:bCs/>
          <w:i w:val="false"/>
          <w:iCs w:val="false"/>
          <w:color w:val="1B2A4A"/>
          <w:sz w:val="20"/>
          <w:szCs w:val="20"/>
        </w:rPr>
        <w:t xml:space="preserve">Evidence Reviewed</w:t>
      </w:r>
    </w:p>
    <w:p>
      <w:pPr>
        <w:spacing w:after="120" w:before="80"/>
        <w:jc w:val="both"/>
      </w:pPr>
      <w:r>
        <w:rPr>
          <w:rFonts w:ascii="Arial" w:cs="Arial" w:eastAsia="Arial" w:hAnsi="Arial"/>
          <w:b w:val="false"/>
          <w:bCs w:val="false"/>
          <w:i w:val="false"/>
          <w:iCs w:val="false"/>
          <w:color w:val="1A1A1A"/>
          <w:sz w:val="20"/>
          <w:szCs w:val="20"/>
        </w:rPr>
        <w:t xml:space="preserve">Organisational chart reviewed during fieldwork confirmed no cybersecurity-specific role exists. HR documentation reviewed contained no job description with cybersecurity accountability. IT Operations Manager confirmed during interview that cybersecurity is addressed when operational capacity permits, with no formal mandate or dedicated resource allocation.</w:t>
      </w:r>
    </w:p>
    <w:p>
      <w:pPr>
        <w:spacing w:after="40" w:before="60"/>
      </w:pPr>
      <w:r>
        <w:rPr>
          <w:rFonts w:ascii="Arial" w:cs="Arial" w:eastAsia="Arial" w:hAnsi="Arial"/>
          <w:b/>
          <w:bCs/>
          <w:i w:val="false"/>
          <w:iCs w:val="false"/>
          <w:color w:val="1B2A4A"/>
          <w:sz w:val="20"/>
          <w:szCs w:val="20"/>
        </w:rPr>
        <w:t xml:space="preserve">Root Cause</w:t>
      </w:r>
    </w:p>
    <w:p>
      <w:pPr>
        <w:spacing w:after="120" w:before="80"/>
        <w:jc w:val="both"/>
      </w:pPr>
      <w:r>
        <w:rPr>
          <w:rFonts w:ascii="Arial" w:cs="Arial" w:eastAsia="Arial" w:hAnsi="Arial"/>
          <w:b w:val="false"/>
          <w:bCs w:val="false"/>
          <w:i w:val="false"/>
          <w:iCs w:val="false"/>
          <w:color w:val="1A1A1A"/>
          <w:sz w:val="20"/>
          <w:szCs w:val="20"/>
        </w:rPr>
        <w:t xml:space="preserve">Cybersecurity accountability has been informally absorbed by IT operations without formal recognition or resource allocation. The dual responsibility model creates a structural conflict — operational IT priorities routinely displace security activities. Without a designated accountable person, cybersecurity programme ownership, escalation, and regulatory engagement have no defined owner.</w:t>
      </w:r>
    </w:p>
    <w:p>
      <w:pPr>
        <w:spacing w:after="40" w:before="60"/>
      </w:pPr>
      <w:r>
        <w:rPr>
          <w:rFonts w:ascii="Arial" w:cs="Arial" w:eastAsia="Arial" w:hAnsi="Arial"/>
          <w:b/>
          <w:bCs/>
          <w:i w:val="false"/>
          <w:iCs w:val="false"/>
          <w:color w:val="1B2A4A"/>
          <w:sz w:val="20"/>
          <w:szCs w:val="20"/>
        </w:rPr>
        <w:t xml:space="preserve">Recommendation</w:t>
      </w:r>
    </w:p>
    <w:p>
      <w:pPr>
        <w:spacing w:after="120" w:before="80"/>
        <w:jc w:val="both"/>
      </w:pPr>
      <w:r>
        <w:rPr>
          <w:rFonts w:ascii="Arial" w:cs="Arial" w:eastAsia="Arial" w:hAnsi="Arial"/>
          <w:b w:val="false"/>
          <w:bCs w:val="false"/>
          <w:i w:val="false"/>
          <w:iCs w:val="false"/>
          <w:color w:val="1A1A1A"/>
          <w:sz w:val="20"/>
          <w:szCs w:val="20"/>
        </w:rPr>
        <w:t xml:space="preserve">Create and fill a CISO role or designate a named cybersecurity accountable person at senior management level as an immediate priority (Phase 1 action). Define formal cybersecurity roles and responsibilities across the IT function and relevant business units. Include cybersecurity accountability in relevant job descriptions. The CISO appointment should precede all other remediation activities, as programme ownership is a prerequisite for effective governance.</w:t>
      </w:r>
    </w:p>
    <w:p>
      <w:pPr>
        <w:spacing w:after="0" w:before="1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7046"/>
        <w:gridCol w:w="1500"/>
      </w:tblGrid>
      <w:tr>
        <w:tc>
          <w:tcPr>
            <w:tcW w:type="dxa" w:w="1200"/>
            <w:tcBorders>
              <w:top w:val="single" w:color="C8D4E4" w:sz="1"/>
              <w:left w:val="single" w:color="C8D4E4" w:sz="1"/>
              <w:bottom w:val="single" w:color="C8D4E4" w:sz="1"/>
              <w:right w:val="single" w:color="C8D4E4"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C8A951"/>
                <w:sz w:val="20"/>
                <w:szCs w:val="20"/>
              </w:rPr>
              <w:t xml:space="preserve">F-003</w:t>
            </w:r>
          </w:p>
        </w:tc>
        <w:tc>
          <w:tcPr>
            <w:tcW w:type="dxa" w:w="7046"/>
            <w:tcBorders>
              <w:top w:val="single" w:color="C8D4E4" w:sz="1"/>
              <w:left w:val="single" w:color="C8D4E4" w:sz="1"/>
              <w:bottom w:val="single" w:color="C8D4E4" w:sz="1"/>
              <w:right w:val="single" w:color="C8D4E4" w:sz="1"/>
            </w:tcBorders>
            <w:shd w:fill="1B2A4A"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No Formal Cyber Risk Assessment Process</w:t>
            </w:r>
          </w:p>
        </w:tc>
        <w:tc>
          <w:tcPr>
            <w:tcW w:type="dxa" w:w="1500"/>
            <w:tcBorders>
              <w:top w:val="single" w:color="C8D4E4" w:sz="1"/>
              <w:left w:val="single" w:color="C8D4E4" w:sz="1"/>
              <w:bottom w:val="single" w:color="C8D4E4" w:sz="1"/>
              <w:right w:val="single" w:color="C8D4E4"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Critical</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8D4E4" w:sz="1"/>
              <w:left w:val="single" w:color="C8D4E4" w:sz="1"/>
              <w:bottom w:val="single" w:color="C8D4E4" w:sz="1"/>
              <w:right w:val="single" w:color="C8D4E4" w:sz="1"/>
            </w:tcBorders>
            <w:shd w:fill="EEF1F7" w:val="clear"/>
            <w:tcMar>
              <w:top w:type="dxa" w:w="60"/>
              <w:left w:type="dxa" w:w="120"/>
              <w:bottom w:type="dxa" w:w="60"/>
              <w:right w:type="dxa" w:w="120"/>
            </w:tcMar>
          </w:tcPr>
          <w:p>
            <w:r>
              <w:rPr>
                <w:rFonts w:ascii="Arial" w:cs="Arial" w:eastAsia="Arial" w:hAnsi="Arial"/>
                <w:b/>
                <w:bCs/>
                <w:i w:val="false"/>
                <w:iCs w:val="false"/>
                <w:color w:val="1B2A4A"/>
                <w:sz w:val="19"/>
                <w:szCs w:val="19"/>
              </w:rPr>
              <w:t xml:space="preserve">ECC Domain</w:t>
            </w:r>
          </w:p>
        </w:tc>
        <w:tc>
          <w:tcPr>
            <w:tcW w:type="dxa" w:w="7746"/>
            <w:tcBorders>
              <w:top w:val="single" w:color="C8D4E4" w:sz="1"/>
              <w:left w:val="single" w:color="C8D4E4" w:sz="1"/>
              <w:bottom w:val="single" w:color="C8D4E4" w:sz="1"/>
              <w:right w:val="single" w:color="C8D4E4" w:sz="1"/>
            </w:tcBorders>
            <w:tcMar>
              <w:top w:type="dxa" w:w="60"/>
              <w:left w:type="dxa" w:w="120"/>
              <w:bottom w:type="dxa" w:w="60"/>
              <w:right w:type="dxa" w:w="120"/>
            </w:tcMar>
          </w:tcPr>
          <w:p>
            <w:r>
              <w:rPr>
                <w:rFonts w:ascii="Arial" w:cs="Arial" w:eastAsia="Arial" w:hAnsi="Arial"/>
                <w:b w:val="false"/>
                <w:bCs w:val="false"/>
                <w:i w:val="false"/>
                <w:iCs w:val="false"/>
                <w:color w:val="1A1A1A"/>
                <w:sz w:val="19"/>
                <w:szCs w:val="19"/>
              </w:rPr>
              <w:t xml:space="preserve">Domain 2 — Cybersecurity Risk Management (ECC 2-1, 2-2, 2-3)</w:t>
            </w:r>
          </w:p>
        </w:tc>
      </w:tr>
      <w:tr>
        <w:tc>
          <w:tcPr>
            <w:tcW w:type="dxa" w:w="2000"/>
            <w:tcBorders>
              <w:top w:val="single" w:color="C8D4E4" w:sz="1"/>
              <w:left w:val="single" w:color="C8D4E4" w:sz="1"/>
              <w:bottom w:val="single" w:color="C8D4E4" w:sz="1"/>
              <w:right w:val="single" w:color="C8D4E4" w:sz="1"/>
            </w:tcBorders>
            <w:shd w:fill="EEF1F7" w:val="clear"/>
            <w:tcMar>
              <w:top w:type="dxa" w:w="60"/>
              <w:left w:type="dxa" w:w="120"/>
              <w:bottom w:type="dxa" w:w="60"/>
              <w:right w:type="dxa" w:w="120"/>
            </w:tcMar>
          </w:tcPr>
          <w:p>
            <w:r>
              <w:rPr>
                <w:rFonts w:ascii="Arial" w:cs="Arial" w:eastAsia="Arial" w:hAnsi="Arial"/>
                <w:b/>
                <w:bCs/>
                <w:i w:val="false"/>
                <w:iCs w:val="false"/>
                <w:color w:val="1B2A4A"/>
                <w:sz w:val="19"/>
                <w:szCs w:val="19"/>
              </w:rPr>
              <w:t xml:space="preserve">Risk Reference</w:t>
            </w:r>
          </w:p>
        </w:tc>
        <w:tc>
          <w:tcPr>
            <w:tcW w:type="dxa" w:w="7746"/>
            <w:tcBorders>
              <w:top w:val="single" w:color="C8D4E4" w:sz="1"/>
              <w:left w:val="single" w:color="C8D4E4" w:sz="1"/>
              <w:bottom w:val="single" w:color="C8D4E4" w:sz="1"/>
              <w:right w:val="single" w:color="C8D4E4" w:sz="1"/>
            </w:tcBorders>
            <w:tcMar>
              <w:top w:type="dxa" w:w="60"/>
              <w:left w:type="dxa" w:w="120"/>
              <w:bottom w:type="dxa" w:w="60"/>
              <w:right w:type="dxa" w:w="120"/>
            </w:tcMar>
          </w:tcPr>
          <w:p>
            <w:r>
              <w:rPr>
                <w:rFonts w:ascii="Arial" w:cs="Arial" w:eastAsia="Arial" w:hAnsi="Arial"/>
                <w:b w:val="false"/>
                <w:bCs w:val="false"/>
                <w:i w:val="false"/>
                <w:iCs w:val="false"/>
                <w:color w:val="1A1A1A"/>
                <w:sz w:val="19"/>
                <w:szCs w:val="19"/>
              </w:rPr>
              <w:t xml:space="preserve">R-004 (L5 × I5 = 25 — Critical)</w:t>
            </w:r>
          </w:p>
        </w:tc>
      </w:tr>
    </w:tbl>
    <w:p>
      <w:pPr>
        <w:spacing w:after="0" w:before="80"/>
      </w:pPr>
      <w:r>
        <w:t xml:space="preserve"/>
      </w:r>
    </w:p>
    <w:p>
      <w:pPr>
        <w:spacing w:after="40" w:before="60"/>
      </w:pPr>
      <w:r>
        <w:rPr>
          <w:rFonts w:ascii="Arial" w:cs="Arial" w:eastAsia="Arial" w:hAnsi="Arial"/>
          <w:b/>
          <w:bCs/>
          <w:i w:val="false"/>
          <w:iCs w:val="false"/>
          <w:color w:val="1B2A4A"/>
          <w:sz w:val="20"/>
          <w:szCs w:val="20"/>
        </w:rPr>
        <w:t xml:space="preserve">Finding</w:t>
      </w:r>
    </w:p>
    <w:p>
      <w:pPr>
        <w:spacing w:after="120" w:before="80"/>
        <w:jc w:val="both"/>
      </w:pPr>
      <w:r>
        <w:rPr>
          <w:rFonts w:ascii="Arial" w:cs="Arial" w:eastAsia="Arial" w:hAnsi="Arial"/>
          <w:b w:val="false"/>
          <w:bCs w:val="false"/>
          <w:i w:val="false"/>
          <w:iCs w:val="false"/>
          <w:color w:val="1A1A1A"/>
          <w:sz w:val="20"/>
          <w:szCs w:val="20"/>
        </w:rPr>
        <w:t xml:space="preserve">Al Ameen Insurance Company has no formal cyber risk assessment methodology. Cybersecurity risks have never been formally identified, rated, or tracked. No cyber risk register exists. The organisation has no documented approach to threat identification, vulnerability assessment, or risk scoring. As a result, the organisation has no visibility of its cybersecurity risk exposure, no mechanism to prioritise remediation, and no risk-based foundation from which to plan cybersecurity investment. This finding underpins the absence of risk treatment plans, risk acceptance decisions, and management risk reporting observed across Domain 2.</w:t>
      </w:r>
    </w:p>
    <w:p>
      <w:pPr>
        <w:spacing w:after="40" w:before="60"/>
      </w:pPr>
      <w:r>
        <w:rPr>
          <w:rFonts w:ascii="Arial" w:cs="Arial" w:eastAsia="Arial" w:hAnsi="Arial"/>
          <w:b/>
          <w:bCs/>
          <w:i w:val="false"/>
          <w:iCs w:val="false"/>
          <w:color w:val="1B2A4A"/>
          <w:sz w:val="20"/>
          <w:szCs w:val="20"/>
        </w:rPr>
        <w:t xml:space="preserve">Evidence Reviewed</w:t>
      </w:r>
    </w:p>
    <w:p>
      <w:pPr>
        <w:spacing w:after="120" w:before="80"/>
        <w:jc w:val="both"/>
      </w:pPr>
      <w:r>
        <w:rPr>
          <w:rFonts w:ascii="Arial" w:cs="Arial" w:eastAsia="Arial" w:hAnsi="Arial"/>
          <w:b w:val="false"/>
          <w:bCs w:val="false"/>
          <w:i w:val="false"/>
          <w:iCs w:val="false"/>
          <w:color w:val="1A1A1A"/>
          <w:sz w:val="20"/>
          <w:szCs w:val="20"/>
        </w:rPr>
        <w:t xml:space="preserve">No risk assessment methodology document was provided. IT Operations Manager confirmed during interview that cybersecurity risks are not formally assessed. No risk register was produced in response to evidence request E-012 or E-013. Finance and compliance interview confirmed that no cybersecurity risk reporting reaches senior management.</w:t>
      </w:r>
    </w:p>
    <w:p>
      <w:pPr>
        <w:spacing w:after="40" w:before="60"/>
      </w:pPr>
      <w:r>
        <w:rPr>
          <w:rFonts w:ascii="Arial" w:cs="Arial" w:eastAsia="Arial" w:hAnsi="Arial"/>
          <w:b/>
          <w:bCs/>
          <w:i w:val="false"/>
          <w:iCs w:val="false"/>
          <w:color w:val="1B2A4A"/>
          <w:sz w:val="20"/>
          <w:szCs w:val="20"/>
        </w:rPr>
        <w:t xml:space="preserve">Root Cause</w:t>
      </w:r>
    </w:p>
    <w:p>
      <w:pPr>
        <w:spacing w:after="120" w:before="80"/>
        <w:jc w:val="both"/>
      </w:pPr>
      <w:r>
        <w:rPr>
          <w:rFonts w:ascii="Arial" w:cs="Arial" w:eastAsia="Arial" w:hAnsi="Arial"/>
          <w:b w:val="false"/>
          <w:bCs w:val="false"/>
          <w:i w:val="false"/>
          <w:iCs w:val="false"/>
          <w:color w:val="1A1A1A"/>
          <w:sz w:val="20"/>
          <w:szCs w:val="20"/>
        </w:rPr>
        <w:t xml:space="preserve">The absence of risk management process is consistent with the absence of governance structure identified in F-001 and F-002. Without a designated accountable person or approved strategy, there is no owner to drive risk assessment activity. The organisation lacks the foundational components — threat sources, asset inventory, impact criteria — required to conduct structured risk assessments.</w:t>
      </w:r>
    </w:p>
    <w:p>
      <w:pPr>
        <w:spacing w:after="40" w:before="60"/>
      </w:pPr>
      <w:r>
        <w:rPr>
          <w:rFonts w:ascii="Arial" w:cs="Arial" w:eastAsia="Arial" w:hAnsi="Arial"/>
          <w:b/>
          <w:bCs/>
          <w:i w:val="false"/>
          <w:iCs w:val="false"/>
          <w:color w:val="1B2A4A"/>
          <w:sz w:val="20"/>
          <w:szCs w:val="20"/>
        </w:rPr>
        <w:t xml:space="preserve">Recommendation</w:t>
      </w:r>
    </w:p>
    <w:p>
      <w:pPr>
        <w:spacing w:after="120" w:before="80"/>
        <w:jc w:val="both"/>
      </w:pPr>
      <w:r>
        <w:rPr>
          <w:rFonts w:ascii="Arial" w:cs="Arial" w:eastAsia="Arial" w:hAnsi="Arial"/>
          <w:b w:val="false"/>
          <w:bCs w:val="false"/>
          <w:i w:val="false"/>
          <w:iCs w:val="false"/>
          <w:color w:val="1A1A1A"/>
          <w:sz w:val="20"/>
          <w:szCs w:val="20"/>
        </w:rPr>
        <w:t xml:space="preserve">Develop a cyber risk assessment methodology defining scope, threat sources, likelihood and impact criteria, and rating bands. Conduct an initial organisation-wide cyber risk assessment covering all critical systems — Oracle Insurance, Guidewire ClaimCenter, Azure AD, and third-party integrations. Establish and maintain a cyber risk register with defined owners, risk scores, treatment plans, and review frequency. Establish quarterly risk reporting to senior management.</w:t>
      </w:r>
    </w:p>
    <w:p>
      <w:pPr>
        <w:spacing w:after="0" w:before="1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7046"/>
        <w:gridCol w:w="1500"/>
      </w:tblGrid>
      <w:tr>
        <w:tc>
          <w:tcPr>
            <w:tcW w:type="dxa" w:w="1200"/>
            <w:tcBorders>
              <w:top w:val="single" w:color="C8D4E4" w:sz="1"/>
              <w:left w:val="single" w:color="C8D4E4" w:sz="1"/>
              <w:bottom w:val="single" w:color="C8D4E4" w:sz="1"/>
              <w:right w:val="single" w:color="C8D4E4"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C8A951"/>
                <w:sz w:val="20"/>
                <w:szCs w:val="20"/>
              </w:rPr>
              <w:t xml:space="preserve">F-004</w:t>
            </w:r>
          </w:p>
        </w:tc>
        <w:tc>
          <w:tcPr>
            <w:tcW w:type="dxa" w:w="7046"/>
            <w:tcBorders>
              <w:top w:val="single" w:color="C8D4E4" w:sz="1"/>
              <w:left w:val="single" w:color="C8D4E4" w:sz="1"/>
              <w:bottom w:val="single" w:color="C8D4E4" w:sz="1"/>
              <w:right w:val="single" w:color="C8D4E4" w:sz="1"/>
            </w:tcBorders>
            <w:shd w:fill="1B2A4A"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No Third-Party Cybersecurity Requirements in Vendor Contracts</w:t>
            </w:r>
          </w:p>
        </w:tc>
        <w:tc>
          <w:tcPr>
            <w:tcW w:type="dxa" w:w="1500"/>
            <w:tcBorders>
              <w:top w:val="single" w:color="C8D4E4" w:sz="1"/>
              <w:left w:val="single" w:color="C8D4E4" w:sz="1"/>
              <w:bottom w:val="single" w:color="C8D4E4" w:sz="1"/>
              <w:right w:val="single" w:color="C8D4E4"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Critical</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8D4E4" w:sz="1"/>
              <w:left w:val="single" w:color="C8D4E4" w:sz="1"/>
              <w:bottom w:val="single" w:color="C8D4E4" w:sz="1"/>
              <w:right w:val="single" w:color="C8D4E4" w:sz="1"/>
            </w:tcBorders>
            <w:shd w:fill="EEF1F7" w:val="clear"/>
            <w:tcMar>
              <w:top w:type="dxa" w:w="60"/>
              <w:left w:type="dxa" w:w="120"/>
              <w:bottom w:type="dxa" w:w="60"/>
              <w:right w:type="dxa" w:w="120"/>
            </w:tcMar>
          </w:tcPr>
          <w:p>
            <w:r>
              <w:rPr>
                <w:rFonts w:ascii="Arial" w:cs="Arial" w:eastAsia="Arial" w:hAnsi="Arial"/>
                <w:b/>
                <w:bCs/>
                <w:i w:val="false"/>
                <w:iCs w:val="false"/>
                <w:color w:val="1B2A4A"/>
                <w:sz w:val="19"/>
                <w:szCs w:val="19"/>
              </w:rPr>
              <w:t xml:space="preserve">ECC Domain</w:t>
            </w:r>
          </w:p>
        </w:tc>
        <w:tc>
          <w:tcPr>
            <w:tcW w:type="dxa" w:w="7746"/>
            <w:tcBorders>
              <w:top w:val="single" w:color="C8D4E4" w:sz="1"/>
              <w:left w:val="single" w:color="C8D4E4" w:sz="1"/>
              <w:bottom w:val="single" w:color="C8D4E4" w:sz="1"/>
              <w:right w:val="single" w:color="C8D4E4" w:sz="1"/>
            </w:tcBorders>
            <w:tcMar>
              <w:top w:type="dxa" w:w="60"/>
              <w:left w:type="dxa" w:w="120"/>
              <w:bottom w:type="dxa" w:w="60"/>
              <w:right w:type="dxa" w:w="120"/>
            </w:tcMar>
          </w:tcPr>
          <w:p>
            <w:r>
              <w:rPr>
                <w:rFonts w:ascii="Arial" w:cs="Arial" w:eastAsia="Arial" w:hAnsi="Arial"/>
                <w:b w:val="false"/>
                <w:bCs w:val="false"/>
                <w:i w:val="false"/>
                <w:iCs w:val="false"/>
                <w:color w:val="1A1A1A"/>
                <w:sz w:val="19"/>
                <w:szCs w:val="19"/>
              </w:rPr>
              <w:t xml:space="preserve">Domain 4 — Third-Party Cybersecurity (ECC 4-1, 4-2)</w:t>
            </w:r>
          </w:p>
        </w:tc>
      </w:tr>
      <w:tr>
        <w:tc>
          <w:tcPr>
            <w:tcW w:type="dxa" w:w="2000"/>
            <w:tcBorders>
              <w:top w:val="single" w:color="C8D4E4" w:sz="1"/>
              <w:left w:val="single" w:color="C8D4E4" w:sz="1"/>
              <w:bottom w:val="single" w:color="C8D4E4" w:sz="1"/>
              <w:right w:val="single" w:color="C8D4E4" w:sz="1"/>
            </w:tcBorders>
            <w:shd w:fill="EEF1F7" w:val="clear"/>
            <w:tcMar>
              <w:top w:type="dxa" w:w="60"/>
              <w:left w:type="dxa" w:w="120"/>
              <w:bottom w:type="dxa" w:w="60"/>
              <w:right w:type="dxa" w:w="120"/>
            </w:tcMar>
          </w:tcPr>
          <w:p>
            <w:r>
              <w:rPr>
                <w:rFonts w:ascii="Arial" w:cs="Arial" w:eastAsia="Arial" w:hAnsi="Arial"/>
                <w:b/>
                <w:bCs/>
                <w:i w:val="false"/>
                <w:iCs w:val="false"/>
                <w:color w:val="1B2A4A"/>
                <w:sz w:val="19"/>
                <w:szCs w:val="19"/>
              </w:rPr>
              <w:t xml:space="preserve">Risk Reference</w:t>
            </w:r>
          </w:p>
        </w:tc>
        <w:tc>
          <w:tcPr>
            <w:tcW w:type="dxa" w:w="7746"/>
            <w:tcBorders>
              <w:top w:val="single" w:color="C8D4E4" w:sz="1"/>
              <w:left w:val="single" w:color="C8D4E4" w:sz="1"/>
              <w:bottom w:val="single" w:color="C8D4E4" w:sz="1"/>
              <w:right w:val="single" w:color="C8D4E4" w:sz="1"/>
            </w:tcBorders>
            <w:tcMar>
              <w:top w:type="dxa" w:w="60"/>
              <w:left w:type="dxa" w:w="120"/>
              <w:bottom w:type="dxa" w:w="60"/>
              <w:right w:type="dxa" w:w="120"/>
            </w:tcMar>
          </w:tcPr>
          <w:p>
            <w:r>
              <w:rPr>
                <w:rFonts w:ascii="Arial" w:cs="Arial" w:eastAsia="Arial" w:hAnsi="Arial"/>
                <w:b w:val="false"/>
                <w:bCs w:val="false"/>
                <w:i w:val="false"/>
                <w:iCs w:val="false"/>
                <w:color w:val="1A1A1A"/>
                <w:sz w:val="19"/>
                <w:szCs w:val="19"/>
              </w:rPr>
              <w:t xml:space="preserve">R-011 (L4 × I5 = 20 — Critical)</w:t>
            </w:r>
          </w:p>
        </w:tc>
      </w:tr>
    </w:tbl>
    <w:p>
      <w:pPr>
        <w:spacing w:after="0" w:before="80"/>
      </w:pPr>
      <w:r>
        <w:t xml:space="preserve"/>
      </w:r>
    </w:p>
    <w:p>
      <w:pPr>
        <w:spacing w:after="40" w:before="60"/>
      </w:pPr>
      <w:r>
        <w:rPr>
          <w:rFonts w:ascii="Arial" w:cs="Arial" w:eastAsia="Arial" w:hAnsi="Arial"/>
          <w:b/>
          <w:bCs/>
          <w:i w:val="false"/>
          <w:iCs w:val="false"/>
          <w:color w:val="1B2A4A"/>
          <w:sz w:val="20"/>
          <w:szCs w:val="20"/>
        </w:rPr>
        <w:t xml:space="preserve">Finding</w:t>
      </w:r>
    </w:p>
    <w:p>
      <w:pPr>
        <w:spacing w:after="120" w:before="80"/>
        <w:jc w:val="both"/>
      </w:pPr>
      <w:r>
        <w:rPr>
          <w:rFonts w:ascii="Arial" w:cs="Arial" w:eastAsia="Arial" w:hAnsi="Arial"/>
          <w:b w:val="false"/>
          <w:bCs w:val="false"/>
          <w:i w:val="false"/>
          <w:iCs w:val="false"/>
          <w:color w:val="1A1A1A"/>
          <w:sz w:val="20"/>
          <w:szCs w:val="20"/>
        </w:rPr>
        <w:t xml:space="preserve">The contracts governing Al Ameen Insurance Company's three highest-risk vendor relationships — Najm (motor claims integration), Munich Re (reinsurance), and Swiss Re (reinsurance) — contain no cybersecurity obligations. All three vendors have direct or indirect access to production systems and sensitive policyholder data. Najm has a live integration with Oracle Insurance for motor claims data exchange. Munich Re and Swiss Re connect to production systems via secure file transfer for reinsurance processing. None of these vendors have been subject to a security assessment, and no security requirements flow down through their respective contracts. This represents a significant and unmanaged supply chain risk.</w:t>
      </w:r>
    </w:p>
    <w:p>
      <w:pPr>
        <w:spacing w:after="40" w:before="60"/>
      </w:pPr>
      <w:r>
        <w:rPr>
          <w:rFonts w:ascii="Arial" w:cs="Arial" w:eastAsia="Arial" w:hAnsi="Arial"/>
          <w:b/>
          <w:bCs/>
          <w:i w:val="false"/>
          <w:iCs w:val="false"/>
          <w:color w:val="1B2A4A"/>
          <w:sz w:val="20"/>
          <w:szCs w:val="20"/>
        </w:rPr>
        <w:t xml:space="preserve">Evidence Reviewed</w:t>
      </w:r>
    </w:p>
    <w:p>
      <w:pPr>
        <w:spacing w:after="120" w:before="80"/>
        <w:jc w:val="both"/>
      </w:pPr>
      <w:r>
        <w:rPr>
          <w:rFonts w:ascii="Arial" w:cs="Arial" w:eastAsia="Arial" w:hAnsi="Arial"/>
          <w:b w:val="false"/>
          <w:bCs w:val="false"/>
          <w:i w:val="false"/>
          <w:iCs w:val="false"/>
          <w:color w:val="1A1A1A"/>
          <w:sz w:val="20"/>
          <w:szCs w:val="20"/>
        </w:rPr>
        <w:t xml:space="preserve">Contracts for Najm, Munich Re, and Swiss Re were reviewed in response to evidence requests E-035, E-036, and E-037. None of the three contracts contain cybersecurity clauses, security assessment rights, incident notification obligations, or data protection requirements beyond standard commercial terms. Evidence request E-039 (vendor risk assessment records) returned no responsive documents. IT Operations Manager confirmed during interview that no security assessment has been conducted on any of the three vendors.</w:t>
      </w:r>
    </w:p>
    <w:p>
      <w:pPr>
        <w:spacing w:after="40" w:before="60"/>
      </w:pPr>
      <w:r>
        <w:rPr>
          <w:rFonts w:ascii="Arial" w:cs="Arial" w:eastAsia="Arial" w:hAnsi="Arial"/>
          <w:b/>
          <w:bCs/>
          <w:i w:val="false"/>
          <w:iCs w:val="false"/>
          <w:color w:val="1B2A4A"/>
          <w:sz w:val="20"/>
          <w:szCs w:val="20"/>
        </w:rPr>
        <w:t xml:space="preserve">Root Cause</w:t>
      </w:r>
    </w:p>
    <w:p>
      <w:pPr>
        <w:spacing w:after="120" w:before="80"/>
        <w:jc w:val="both"/>
      </w:pPr>
      <w:r>
        <w:rPr>
          <w:rFonts w:ascii="Arial" w:cs="Arial" w:eastAsia="Arial" w:hAnsi="Arial"/>
          <w:b w:val="false"/>
          <w:bCs w:val="false"/>
          <w:i w:val="false"/>
          <w:iCs w:val="false"/>
          <w:color w:val="1A1A1A"/>
          <w:sz w:val="20"/>
          <w:szCs w:val="20"/>
        </w:rPr>
        <w:t xml:space="preserve">Third-party security management has not been established as a formal programme. The absence of a cybersecurity policy framework (F-001) means that vendor security requirements have never been defined. The organisation has no third-party risk assessment methodology, no critical vendor register, and no mechanism to impose or monitor security obligations on vendors with production system access.</w:t>
      </w:r>
    </w:p>
    <w:p>
      <w:pPr>
        <w:spacing w:after="40" w:before="60"/>
      </w:pPr>
      <w:r>
        <w:rPr>
          <w:rFonts w:ascii="Arial" w:cs="Arial" w:eastAsia="Arial" w:hAnsi="Arial"/>
          <w:b/>
          <w:bCs/>
          <w:i w:val="false"/>
          <w:iCs w:val="false"/>
          <w:color w:val="1B2A4A"/>
          <w:sz w:val="20"/>
          <w:szCs w:val="20"/>
        </w:rPr>
        <w:t xml:space="preserve">Recommendation</w:t>
      </w:r>
    </w:p>
    <w:p>
      <w:pPr>
        <w:spacing w:after="120" w:before="80"/>
        <w:jc w:val="both"/>
      </w:pPr>
      <w:r>
        <w:rPr>
          <w:rFonts w:ascii="Arial" w:cs="Arial" w:eastAsia="Arial" w:hAnsi="Arial"/>
          <w:b w:val="false"/>
          <w:bCs w:val="false"/>
          <w:i w:val="false"/>
          <w:iCs w:val="false"/>
          <w:color w:val="1A1A1A"/>
          <w:sz w:val="20"/>
          <w:szCs w:val="20"/>
        </w:rPr>
        <w:t xml:space="preserve">Immediately review third-party access rights for Najm, Munich Re, and Swiss Re and confirm that access is scoped to the minimum required. Develop cybersecurity requirements for inclusion in all vendor contracts, covering: security assessment rights, minimum security standards, incident notification timelines, data handling obligations, and access control requirements. Initiate security assessments for all three vendors. Establish a third-party cybersecurity management policy and a critical vendor register with defined oversight obligations.</w:t>
      </w:r>
    </w:p>
    <w:p>
      <w:pPr>
        <w:spacing w:after="0" w:before="1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7046"/>
        <w:gridCol w:w="1500"/>
      </w:tblGrid>
      <w:tr>
        <w:tc>
          <w:tcPr>
            <w:tcW w:type="dxa" w:w="1200"/>
            <w:tcBorders>
              <w:top w:val="single" w:color="C8D4E4" w:sz="1"/>
              <w:left w:val="single" w:color="C8D4E4" w:sz="1"/>
              <w:bottom w:val="single" w:color="C8D4E4" w:sz="1"/>
              <w:right w:val="single" w:color="C8D4E4"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C8A951"/>
                <w:sz w:val="20"/>
                <w:szCs w:val="20"/>
              </w:rPr>
              <w:t xml:space="preserve">F-005</w:t>
            </w:r>
          </w:p>
        </w:tc>
        <w:tc>
          <w:tcPr>
            <w:tcW w:type="dxa" w:w="7046"/>
            <w:tcBorders>
              <w:top w:val="single" w:color="C8D4E4" w:sz="1"/>
              <w:left w:val="single" w:color="C8D4E4" w:sz="1"/>
              <w:bottom w:val="single" w:color="C8D4E4" w:sz="1"/>
              <w:right w:val="single" w:color="C8D4E4" w:sz="1"/>
            </w:tcBorders>
            <w:shd w:fill="1B2A4A"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No Business Continuity or Disaster Recovery Plan</w:t>
            </w:r>
          </w:p>
        </w:tc>
        <w:tc>
          <w:tcPr>
            <w:tcW w:type="dxa" w:w="1500"/>
            <w:tcBorders>
              <w:top w:val="single" w:color="C8D4E4" w:sz="1"/>
              <w:left w:val="single" w:color="C8D4E4" w:sz="1"/>
              <w:bottom w:val="single" w:color="C8D4E4" w:sz="1"/>
              <w:right w:val="single" w:color="C8D4E4"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Critical</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8D4E4" w:sz="1"/>
              <w:left w:val="single" w:color="C8D4E4" w:sz="1"/>
              <w:bottom w:val="single" w:color="C8D4E4" w:sz="1"/>
              <w:right w:val="single" w:color="C8D4E4" w:sz="1"/>
            </w:tcBorders>
            <w:shd w:fill="EEF1F7" w:val="clear"/>
            <w:tcMar>
              <w:top w:type="dxa" w:w="60"/>
              <w:left w:type="dxa" w:w="120"/>
              <w:bottom w:type="dxa" w:w="60"/>
              <w:right w:type="dxa" w:w="120"/>
            </w:tcMar>
          </w:tcPr>
          <w:p>
            <w:r>
              <w:rPr>
                <w:rFonts w:ascii="Arial" w:cs="Arial" w:eastAsia="Arial" w:hAnsi="Arial"/>
                <w:b/>
                <w:bCs/>
                <w:i w:val="false"/>
                <w:iCs w:val="false"/>
                <w:color w:val="1B2A4A"/>
                <w:sz w:val="19"/>
                <w:szCs w:val="19"/>
              </w:rPr>
              <w:t xml:space="preserve">ECC Domain</w:t>
            </w:r>
          </w:p>
        </w:tc>
        <w:tc>
          <w:tcPr>
            <w:tcW w:type="dxa" w:w="7746"/>
            <w:tcBorders>
              <w:top w:val="single" w:color="C8D4E4" w:sz="1"/>
              <w:left w:val="single" w:color="C8D4E4" w:sz="1"/>
              <w:bottom w:val="single" w:color="C8D4E4" w:sz="1"/>
              <w:right w:val="single" w:color="C8D4E4" w:sz="1"/>
            </w:tcBorders>
            <w:tcMar>
              <w:top w:type="dxa" w:w="60"/>
              <w:left w:type="dxa" w:w="120"/>
              <w:bottom w:type="dxa" w:w="60"/>
              <w:right w:type="dxa" w:w="120"/>
            </w:tcMar>
          </w:tcPr>
          <w:p>
            <w:r>
              <w:rPr>
                <w:rFonts w:ascii="Arial" w:cs="Arial" w:eastAsia="Arial" w:hAnsi="Arial"/>
                <w:b w:val="false"/>
                <w:bCs w:val="false"/>
                <w:i w:val="false"/>
                <w:iCs w:val="false"/>
                <w:color w:val="1A1A1A"/>
                <w:sz w:val="19"/>
                <w:szCs w:val="19"/>
              </w:rPr>
              <w:t xml:space="preserve">Domain 5 — Cybersecurity Resilience (ECC 5-1, 5-2)</w:t>
            </w:r>
          </w:p>
        </w:tc>
      </w:tr>
      <w:tr>
        <w:tc>
          <w:tcPr>
            <w:tcW w:type="dxa" w:w="2000"/>
            <w:tcBorders>
              <w:top w:val="single" w:color="C8D4E4" w:sz="1"/>
              <w:left w:val="single" w:color="C8D4E4" w:sz="1"/>
              <w:bottom w:val="single" w:color="C8D4E4" w:sz="1"/>
              <w:right w:val="single" w:color="C8D4E4" w:sz="1"/>
            </w:tcBorders>
            <w:shd w:fill="EEF1F7" w:val="clear"/>
            <w:tcMar>
              <w:top w:type="dxa" w:w="60"/>
              <w:left w:type="dxa" w:w="120"/>
              <w:bottom w:type="dxa" w:w="60"/>
              <w:right w:type="dxa" w:w="120"/>
            </w:tcMar>
          </w:tcPr>
          <w:p>
            <w:r>
              <w:rPr>
                <w:rFonts w:ascii="Arial" w:cs="Arial" w:eastAsia="Arial" w:hAnsi="Arial"/>
                <w:b/>
                <w:bCs/>
                <w:i w:val="false"/>
                <w:iCs w:val="false"/>
                <w:color w:val="1B2A4A"/>
                <w:sz w:val="19"/>
                <w:szCs w:val="19"/>
              </w:rPr>
              <w:t xml:space="preserve">Risk Reference</w:t>
            </w:r>
          </w:p>
        </w:tc>
        <w:tc>
          <w:tcPr>
            <w:tcW w:type="dxa" w:w="7746"/>
            <w:tcBorders>
              <w:top w:val="single" w:color="C8D4E4" w:sz="1"/>
              <w:left w:val="single" w:color="C8D4E4" w:sz="1"/>
              <w:bottom w:val="single" w:color="C8D4E4" w:sz="1"/>
              <w:right w:val="single" w:color="C8D4E4" w:sz="1"/>
            </w:tcBorders>
            <w:tcMar>
              <w:top w:type="dxa" w:w="60"/>
              <w:left w:type="dxa" w:w="120"/>
              <w:bottom w:type="dxa" w:w="60"/>
              <w:right w:type="dxa" w:w="120"/>
            </w:tcMar>
          </w:tcPr>
          <w:p>
            <w:r>
              <w:rPr>
                <w:rFonts w:ascii="Arial" w:cs="Arial" w:eastAsia="Arial" w:hAnsi="Arial"/>
                <w:b w:val="false"/>
                <w:bCs w:val="false"/>
                <w:i w:val="false"/>
                <w:iCs w:val="false"/>
                <w:color w:val="1A1A1A"/>
                <w:sz w:val="19"/>
                <w:szCs w:val="19"/>
              </w:rPr>
              <w:t xml:space="preserve">R-007 (L4 × I5 = 20 — Critical)</w:t>
            </w:r>
          </w:p>
        </w:tc>
      </w:tr>
    </w:tbl>
    <w:p>
      <w:pPr>
        <w:spacing w:after="0" w:before="80"/>
      </w:pPr>
      <w:r>
        <w:t xml:space="preserve"/>
      </w:r>
    </w:p>
    <w:p>
      <w:pPr>
        <w:spacing w:after="40" w:before="60"/>
      </w:pPr>
      <w:r>
        <w:rPr>
          <w:rFonts w:ascii="Arial" w:cs="Arial" w:eastAsia="Arial" w:hAnsi="Arial"/>
          <w:b/>
          <w:bCs/>
          <w:i w:val="false"/>
          <w:iCs w:val="false"/>
          <w:color w:val="1B2A4A"/>
          <w:sz w:val="20"/>
          <w:szCs w:val="20"/>
        </w:rPr>
        <w:t xml:space="preserve">Finding</w:t>
      </w:r>
    </w:p>
    <w:p>
      <w:pPr>
        <w:spacing w:after="120" w:before="80"/>
        <w:jc w:val="both"/>
      </w:pPr>
      <w:r>
        <w:rPr>
          <w:rFonts w:ascii="Arial" w:cs="Arial" w:eastAsia="Arial" w:hAnsi="Arial"/>
          <w:b w:val="false"/>
          <w:bCs w:val="false"/>
          <w:i w:val="false"/>
          <w:iCs w:val="false"/>
          <w:color w:val="1A1A1A"/>
          <w:sz w:val="20"/>
          <w:szCs w:val="20"/>
        </w:rPr>
        <w:t xml:space="preserve">Al Ameen Insurance Company has no documented Business Continuity Plan (BCP) or Disaster Recovery Plan (DRP). Core operations depend entirely on Oracle Insurance Policy Administration and Guidewire ClaimCenter, both of which run on-premise within a single Riyadh data centre. No secondary data centre, tested failover capability, or recovery runbook exists. A sustained outage to either system would halt all underwriting and claims processing across the organisation's three branch offices. No Recovery Time Objectives (RTOs) or Recovery Point Objectives (RPOs) have been defined for any critical system. No BCP or DRP exercises have been conducted.</w:t>
      </w:r>
    </w:p>
    <w:p>
      <w:pPr>
        <w:spacing w:after="40" w:before="60"/>
      </w:pPr>
      <w:r>
        <w:rPr>
          <w:rFonts w:ascii="Arial" w:cs="Arial" w:eastAsia="Arial" w:hAnsi="Arial"/>
          <w:b/>
          <w:bCs/>
          <w:i w:val="false"/>
          <w:iCs w:val="false"/>
          <w:color w:val="1B2A4A"/>
          <w:sz w:val="20"/>
          <w:szCs w:val="20"/>
        </w:rPr>
        <w:t xml:space="preserve">Evidence Reviewed</w:t>
      </w:r>
    </w:p>
    <w:p>
      <w:pPr>
        <w:spacing w:after="120" w:before="80"/>
        <w:jc w:val="both"/>
      </w:pPr>
      <w:r>
        <w:rPr>
          <w:rFonts w:ascii="Arial" w:cs="Arial" w:eastAsia="Arial" w:hAnsi="Arial"/>
          <w:b w:val="false"/>
          <w:bCs w:val="false"/>
          <w:i w:val="false"/>
          <w:iCs w:val="false"/>
          <w:color w:val="1A1A1A"/>
          <w:sz w:val="20"/>
          <w:szCs w:val="20"/>
        </w:rPr>
        <w:t xml:space="preserve">Evidence requests E-041 (BCP), E-042 (DRP), E-043 (BCP/DRP test records), and E-044 (RTO/RPO definitions) returned no responsive documents. IT Operations Manager confirmed during interview that no BCP or DRP exists. Walkthrough of the Riyadh data centre confirmed a single-site configuration with no documented failover capability. Backup configuration review (E-045) confirmed backups are performed but restoration has not been tested (E-046 — no restoration test records produced).</w:t>
      </w:r>
    </w:p>
    <w:p>
      <w:pPr>
        <w:spacing w:after="40" w:before="60"/>
      </w:pPr>
      <w:r>
        <w:rPr>
          <w:rFonts w:ascii="Arial" w:cs="Arial" w:eastAsia="Arial" w:hAnsi="Arial"/>
          <w:b/>
          <w:bCs/>
          <w:i w:val="false"/>
          <w:iCs w:val="false"/>
          <w:color w:val="1B2A4A"/>
          <w:sz w:val="20"/>
          <w:szCs w:val="20"/>
        </w:rPr>
        <w:t xml:space="preserve">Root Cause</w:t>
      </w:r>
    </w:p>
    <w:p>
      <w:pPr>
        <w:spacing w:after="120" w:before="80"/>
        <w:jc w:val="both"/>
      </w:pPr>
      <w:r>
        <w:rPr>
          <w:rFonts w:ascii="Arial" w:cs="Arial" w:eastAsia="Arial" w:hAnsi="Arial"/>
          <w:b w:val="false"/>
          <w:bCs w:val="false"/>
          <w:i w:val="false"/>
          <w:iCs w:val="false"/>
          <w:color w:val="1A1A1A"/>
          <w:sz w:val="20"/>
          <w:szCs w:val="20"/>
        </w:rPr>
        <w:t xml:space="preserve">Business continuity and disaster recovery have not been formally established. The single on-premise data centre configuration creates a single point of failure with no documented recovery path. The absence of RTOs and RPOs means that recovery time expectations have never been defined or communicated to the business. This finding is compounded by the absence of backup restoration testing, which means the actual recoverability of critical data is unverified.</w:t>
      </w:r>
    </w:p>
    <w:p>
      <w:pPr>
        <w:spacing w:after="40" w:before="60"/>
      </w:pPr>
      <w:r>
        <w:rPr>
          <w:rFonts w:ascii="Arial" w:cs="Arial" w:eastAsia="Arial" w:hAnsi="Arial"/>
          <w:b/>
          <w:bCs/>
          <w:i w:val="false"/>
          <w:iCs w:val="false"/>
          <w:color w:val="1B2A4A"/>
          <w:sz w:val="20"/>
          <w:szCs w:val="20"/>
        </w:rPr>
        <w:t xml:space="preserve">Recommendation</w:t>
      </w:r>
    </w:p>
    <w:p>
      <w:pPr>
        <w:spacing w:after="120" w:before="80"/>
        <w:jc w:val="both"/>
      </w:pPr>
      <w:r>
        <w:rPr>
          <w:rFonts w:ascii="Arial" w:cs="Arial" w:eastAsia="Arial" w:hAnsi="Arial"/>
          <w:b w:val="false"/>
          <w:bCs w:val="false"/>
          <w:i w:val="false"/>
          <w:iCs w:val="false"/>
          <w:color w:val="1A1A1A"/>
          <w:sz w:val="20"/>
          <w:szCs w:val="20"/>
        </w:rPr>
        <w:t xml:space="preserve">Define RTOs and RPOs for Oracle Insurance Policy Administration and Guidewire ClaimCenter in consultation with business stakeholders. Develop a BCP covering cybersecurity incident scenarios including ransomware, system compromise, and data centre outage. Develop a DRP with documented recovery procedures for both critical systems. Establish an offsite or cloud-based backup capability for Oracle Insurance and Guidewire data. Conduct a BCP/DRP tabletop exercise within six months and a full DR test within twelve months. Assign a named BCP/DRP owner.</w:t>
      </w:r>
    </w:p>
    <w:p>
      <w:pPr>
        <w:spacing w:after="0" w:before="160"/>
      </w:pPr>
      <w:r>
        <w:t xml:space="preserve"/>
      </w:r>
    </w:p>
    <w:p>
      <w:pPr>
        <w:spacing w:after="0" w:before="120"/>
      </w:pPr>
      <w:r>
        <w:t xml:space="preserve"/>
      </w:r>
    </w:p>
    <w:p>
      <w:pPr>
        <w:pStyle w:val="Heading2"/>
        <w:spacing w:after="120" w:before="240"/>
      </w:pPr>
      <w:r>
        <w:rPr>
          <w:rFonts w:ascii="Arial" w:cs="Arial" w:eastAsia="Arial" w:hAnsi="Arial"/>
          <w:b/>
          <w:bCs/>
          <w:i w:val="false"/>
          <w:iCs w:val="false"/>
          <w:color w:val="1B2A4A"/>
          <w:sz w:val="22"/>
          <w:szCs w:val="22"/>
        </w:rPr>
        <w:t xml:space="preserve">3.3  High Findings</w:t>
      </w:r>
    </w:p>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7046"/>
        <w:gridCol w:w="1500"/>
      </w:tblGrid>
      <w:tr>
        <w:tc>
          <w:tcPr>
            <w:tcW w:type="dxa" w:w="1200"/>
            <w:tcBorders>
              <w:top w:val="single" w:color="C8D4E4" w:sz="1"/>
              <w:left w:val="single" w:color="C8D4E4" w:sz="1"/>
              <w:bottom w:val="single" w:color="C8D4E4" w:sz="1"/>
              <w:right w:val="single" w:color="C8D4E4"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C8A951"/>
                <w:sz w:val="20"/>
                <w:szCs w:val="20"/>
              </w:rPr>
              <w:t xml:space="preserve">F-006</w:t>
            </w:r>
          </w:p>
        </w:tc>
        <w:tc>
          <w:tcPr>
            <w:tcW w:type="dxa" w:w="7046"/>
            <w:tcBorders>
              <w:top w:val="single" w:color="C8D4E4" w:sz="1"/>
              <w:left w:val="single" w:color="C8D4E4" w:sz="1"/>
              <w:bottom w:val="single" w:color="C8D4E4" w:sz="1"/>
              <w:right w:val="single" w:color="C8D4E4" w:sz="1"/>
            </w:tcBorders>
            <w:shd w:fill="1B2A4A"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No Security Awareness Training Programme</w:t>
            </w:r>
          </w:p>
        </w:tc>
        <w:tc>
          <w:tcPr>
            <w:tcW w:type="dxa" w:w="1500"/>
            <w:tcBorders>
              <w:top w:val="single" w:color="C8D4E4" w:sz="1"/>
              <w:left w:val="single" w:color="C8D4E4" w:sz="1"/>
              <w:bottom w:val="single" w:color="C8D4E4" w:sz="1"/>
              <w:right w:val="single" w:color="C8D4E4"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B8860B"/>
                <w:sz w:val="20"/>
                <w:szCs w:val="20"/>
              </w:rPr>
              <w:t xml:space="preserve">High</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8D4E4" w:sz="1"/>
              <w:left w:val="single" w:color="C8D4E4" w:sz="1"/>
              <w:bottom w:val="single" w:color="C8D4E4" w:sz="1"/>
              <w:right w:val="single" w:color="C8D4E4" w:sz="1"/>
            </w:tcBorders>
            <w:shd w:fill="EEF1F7" w:val="clear"/>
            <w:tcMar>
              <w:top w:type="dxa" w:w="60"/>
              <w:left w:type="dxa" w:w="120"/>
              <w:bottom w:type="dxa" w:w="60"/>
              <w:right w:type="dxa" w:w="120"/>
            </w:tcMar>
          </w:tcPr>
          <w:p>
            <w:r>
              <w:rPr>
                <w:rFonts w:ascii="Arial" w:cs="Arial" w:eastAsia="Arial" w:hAnsi="Arial"/>
                <w:b/>
                <w:bCs/>
                <w:i w:val="false"/>
                <w:iCs w:val="false"/>
                <w:color w:val="1B2A4A"/>
                <w:sz w:val="19"/>
                <w:szCs w:val="19"/>
              </w:rPr>
              <w:t xml:space="preserve">ECC Domain</w:t>
            </w:r>
          </w:p>
        </w:tc>
        <w:tc>
          <w:tcPr>
            <w:tcW w:type="dxa" w:w="7746"/>
            <w:tcBorders>
              <w:top w:val="single" w:color="C8D4E4" w:sz="1"/>
              <w:left w:val="single" w:color="C8D4E4" w:sz="1"/>
              <w:bottom w:val="single" w:color="C8D4E4" w:sz="1"/>
              <w:right w:val="single" w:color="C8D4E4" w:sz="1"/>
            </w:tcBorders>
            <w:tcMar>
              <w:top w:type="dxa" w:w="60"/>
              <w:left w:type="dxa" w:w="120"/>
              <w:bottom w:type="dxa" w:w="60"/>
              <w:right w:type="dxa" w:w="120"/>
            </w:tcMar>
          </w:tcPr>
          <w:p>
            <w:r>
              <w:rPr>
                <w:rFonts w:ascii="Arial" w:cs="Arial" w:eastAsia="Arial" w:hAnsi="Arial"/>
                <w:b w:val="false"/>
                <w:bCs w:val="false"/>
                <w:i w:val="false"/>
                <w:iCs w:val="false"/>
                <w:color w:val="1A1A1A"/>
                <w:sz w:val="19"/>
                <w:szCs w:val="19"/>
              </w:rPr>
              <w:t xml:space="preserve">Domain 1 — Cybersecurity Governance (ECC 1-6)</w:t>
            </w:r>
          </w:p>
        </w:tc>
      </w:tr>
      <w:tr>
        <w:tc>
          <w:tcPr>
            <w:tcW w:type="dxa" w:w="2000"/>
            <w:tcBorders>
              <w:top w:val="single" w:color="C8D4E4" w:sz="1"/>
              <w:left w:val="single" w:color="C8D4E4" w:sz="1"/>
              <w:bottom w:val="single" w:color="C8D4E4" w:sz="1"/>
              <w:right w:val="single" w:color="C8D4E4" w:sz="1"/>
            </w:tcBorders>
            <w:shd w:fill="EEF1F7" w:val="clear"/>
            <w:tcMar>
              <w:top w:type="dxa" w:w="60"/>
              <w:left w:type="dxa" w:w="120"/>
              <w:bottom w:type="dxa" w:w="60"/>
              <w:right w:type="dxa" w:w="120"/>
            </w:tcMar>
          </w:tcPr>
          <w:p>
            <w:r>
              <w:rPr>
                <w:rFonts w:ascii="Arial" w:cs="Arial" w:eastAsia="Arial" w:hAnsi="Arial"/>
                <w:b/>
                <w:bCs/>
                <w:i w:val="false"/>
                <w:iCs w:val="false"/>
                <w:color w:val="1B2A4A"/>
                <w:sz w:val="19"/>
                <w:szCs w:val="19"/>
              </w:rPr>
              <w:t xml:space="preserve">Risk Reference</w:t>
            </w:r>
          </w:p>
        </w:tc>
        <w:tc>
          <w:tcPr>
            <w:tcW w:type="dxa" w:w="7746"/>
            <w:tcBorders>
              <w:top w:val="single" w:color="C8D4E4" w:sz="1"/>
              <w:left w:val="single" w:color="C8D4E4" w:sz="1"/>
              <w:bottom w:val="single" w:color="C8D4E4" w:sz="1"/>
              <w:right w:val="single" w:color="C8D4E4" w:sz="1"/>
            </w:tcBorders>
            <w:tcMar>
              <w:top w:type="dxa" w:w="60"/>
              <w:left w:type="dxa" w:w="120"/>
              <w:bottom w:type="dxa" w:w="60"/>
              <w:right w:type="dxa" w:w="120"/>
            </w:tcMar>
          </w:tcPr>
          <w:p>
            <w:r>
              <w:rPr>
                <w:rFonts w:ascii="Arial" w:cs="Arial" w:eastAsia="Arial" w:hAnsi="Arial"/>
                <w:b w:val="false"/>
                <w:bCs w:val="false"/>
                <w:i w:val="false"/>
                <w:iCs w:val="false"/>
                <w:color w:val="1A1A1A"/>
                <w:sz w:val="19"/>
                <w:szCs w:val="19"/>
              </w:rPr>
              <w:t xml:space="preserve">R-006 (L4 × I4 = 16 — High)</w:t>
            </w:r>
          </w:p>
        </w:tc>
      </w:tr>
    </w:tbl>
    <w:p>
      <w:pPr>
        <w:spacing w:after="0" w:before="80"/>
      </w:pPr>
      <w:r>
        <w:t xml:space="preserve"/>
      </w:r>
    </w:p>
    <w:p>
      <w:pPr>
        <w:spacing w:after="40" w:before="60"/>
      </w:pPr>
      <w:r>
        <w:rPr>
          <w:rFonts w:ascii="Arial" w:cs="Arial" w:eastAsia="Arial" w:hAnsi="Arial"/>
          <w:b/>
          <w:bCs/>
          <w:i w:val="false"/>
          <w:iCs w:val="false"/>
          <w:color w:val="1B2A4A"/>
          <w:sz w:val="20"/>
          <w:szCs w:val="20"/>
        </w:rPr>
        <w:t xml:space="preserve">Finding</w:t>
      </w:r>
    </w:p>
    <w:p>
      <w:pPr>
        <w:spacing w:after="120" w:before="80"/>
        <w:jc w:val="both"/>
      </w:pPr>
      <w:r>
        <w:rPr>
          <w:rFonts w:ascii="Arial" w:cs="Arial" w:eastAsia="Arial" w:hAnsi="Arial"/>
          <w:b w:val="false"/>
          <w:bCs w:val="false"/>
          <w:i w:val="false"/>
          <w:iCs w:val="false"/>
          <w:color w:val="1A1A1A"/>
          <w:sz w:val="20"/>
          <w:szCs w:val="20"/>
        </w:rPr>
        <w:t xml:space="preserve">Al Ameen Insurance Company has no mandatory security awareness training programme for any staff category. No training content, curriculum, or delivery plan has been developed. New joiners receive no security awareness as part of onboarding, and existing staff have received no formal security training. The organisation processes sensitive policyholder data — including national ID numbers, health insurance data, and financial information — across 290 employees, many of whom interact directly with external parties and third-party systems.</w:t>
      </w:r>
    </w:p>
    <w:p>
      <w:pPr>
        <w:spacing w:after="40" w:before="60"/>
      </w:pPr>
      <w:r>
        <w:rPr>
          <w:rFonts w:ascii="Arial" w:cs="Arial" w:eastAsia="Arial" w:hAnsi="Arial"/>
          <w:b/>
          <w:bCs/>
          <w:i w:val="false"/>
          <w:iCs w:val="false"/>
          <w:color w:val="1B2A4A"/>
          <w:sz w:val="20"/>
          <w:szCs w:val="20"/>
        </w:rPr>
        <w:t xml:space="preserve">Evidence Reviewed</w:t>
      </w:r>
    </w:p>
    <w:p>
      <w:pPr>
        <w:spacing w:after="120" w:before="80"/>
        <w:jc w:val="both"/>
      </w:pPr>
      <w:r>
        <w:rPr>
          <w:rFonts w:ascii="Arial" w:cs="Arial" w:eastAsia="Arial" w:hAnsi="Arial"/>
          <w:b w:val="false"/>
          <w:bCs w:val="false"/>
          <w:i w:val="false"/>
          <w:iCs w:val="false"/>
          <w:color w:val="1A1A1A"/>
          <w:sz w:val="20"/>
          <w:szCs w:val="20"/>
        </w:rPr>
        <w:t xml:space="preserve">Training records were requested via E-005. No training records were produced. HR Manager confirmed during interview that cybersecurity is not covered in the onboarding programme. Onboarding checklist reviewed contained no security awareness component. IT Operations Manager confirmed no phishing simulation or security awareness campaign has been conducted.</w:t>
      </w:r>
    </w:p>
    <w:p>
      <w:pPr>
        <w:spacing w:after="40" w:before="60"/>
      </w:pPr>
      <w:r>
        <w:rPr>
          <w:rFonts w:ascii="Arial" w:cs="Arial" w:eastAsia="Arial" w:hAnsi="Arial"/>
          <w:b/>
          <w:bCs/>
          <w:i w:val="false"/>
          <w:iCs w:val="false"/>
          <w:color w:val="1B2A4A"/>
          <w:sz w:val="20"/>
          <w:szCs w:val="20"/>
        </w:rPr>
        <w:t xml:space="preserve">Root Cause</w:t>
      </w:r>
    </w:p>
    <w:p>
      <w:pPr>
        <w:spacing w:after="120" w:before="80"/>
        <w:jc w:val="both"/>
      </w:pPr>
      <w:r>
        <w:rPr>
          <w:rFonts w:ascii="Arial" w:cs="Arial" w:eastAsia="Arial" w:hAnsi="Arial"/>
          <w:b w:val="false"/>
          <w:bCs w:val="false"/>
          <w:i w:val="false"/>
          <w:iCs w:val="false"/>
          <w:color w:val="1A1A1A"/>
          <w:sz w:val="20"/>
          <w:szCs w:val="20"/>
        </w:rPr>
        <w:t xml:space="preserve">Security awareness training has not been prioritised as a programme in the absence of a governance framework and designated cybersecurity owner. The absence of training increases the organisation's susceptibility to social engineering, phishing, and accidental data disclosure — particularly relevant given the sensitive nature of insurance policyholder data and the direct integration with motor claims data via Najm.</w:t>
      </w:r>
    </w:p>
    <w:p>
      <w:pPr>
        <w:spacing w:after="40" w:before="60"/>
      </w:pPr>
      <w:r>
        <w:rPr>
          <w:rFonts w:ascii="Arial" w:cs="Arial" w:eastAsia="Arial" w:hAnsi="Arial"/>
          <w:b/>
          <w:bCs/>
          <w:i w:val="false"/>
          <w:iCs w:val="false"/>
          <w:color w:val="1B2A4A"/>
          <w:sz w:val="20"/>
          <w:szCs w:val="20"/>
        </w:rPr>
        <w:t xml:space="preserve">Recommendation</w:t>
      </w:r>
    </w:p>
    <w:p>
      <w:pPr>
        <w:spacing w:after="120" w:before="80"/>
        <w:jc w:val="both"/>
      </w:pPr>
      <w:r>
        <w:rPr>
          <w:rFonts w:ascii="Arial" w:cs="Arial" w:eastAsia="Arial" w:hAnsi="Arial"/>
          <w:b w:val="false"/>
          <w:bCs w:val="false"/>
          <w:i w:val="false"/>
          <w:iCs w:val="false"/>
          <w:color w:val="1A1A1A"/>
          <w:sz w:val="20"/>
          <w:szCs w:val="20"/>
        </w:rPr>
        <w:t xml:space="preserve">Develop a mandatory security awareness training programme covering: phishing and social engineering, data handling and classification, acceptable use, password and access control, and incident reporting. Deliver training to all staff within 90 days. Integrate security awareness into the onboarding programme for all new joiners. Conduct annual refresh training and periodic phishing simulations. Track and report completion rates to senior management.</w:t>
      </w:r>
    </w:p>
    <w:p>
      <w:pPr>
        <w:spacing w:after="0" w:before="1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7046"/>
        <w:gridCol w:w="1500"/>
      </w:tblGrid>
      <w:tr>
        <w:tc>
          <w:tcPr>
            <w:tcW w:type="dxa" w:w="1200"/>
            <w:tcBorders>
              <w:top w:val="single" w:color="C8D4E4" w:sz="1"/>
              <w:left w:val="single" w:color="C8D4E4" w:sz="1"/>
              <w:bottom w:val="single" w:color="C8D4E4" w:sz="1"/>
              <w:right w:val="single" w:color="C8D4E4"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C8A951"/>
                <w:sz w:val="20"/>
                <w:szCs w:val="20"/>
              </w:rPr>
              <w:t xml:space="preserve">F-007</w:t>
            </w:r>
          </w:p>
        </w:tc>
        <w:tc>
          <w:tcPr>
            <w:tcW w:type="dxa" w:w="7046"/>
            <w:tcBorders>
              <w:top w:val="single" w:color="C8D4E4" w:sz="1"/>
              <w:left w:val="single" w:color="C8D4E4" w:sz="1"/>
              <w:bottom w:val="single" w:color="C8D4E4" w:sz="1"/>
              <w:right w:val="single" w:color="C8D4E4" w:sz="1"/>
            </w:tcBorders>
            <w:shd w:fill="1B2A4A"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Shared Privileged Credentials on Oracle Insurance Policy Administration — Live Risk</w:t>
            </w:r>
          </w:p>
        </w:tc>
        <w:tc>
          <w:tcPr>
            <w:tcW w:type="dxa" w:w="1500"/>
            <w:tcBorders>
              <w:top w:val="single" w:color="C8D4E4" w:sz="1"/>
              <w:left w:val="single" w:color="C8D4E4" w:sz="1"/>
              <w:bottom w:val="single" w:color="C8D4E4" w:sz="1"/>
              <w:right w:val="single" w:color="C8D4E4"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B8860B"/>
                <w:sz w:val="20"/>
                <w:szCs w:val="20"/>
              </w:rPr>
              <w:t xml:space="preserve">High</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8D4E4" w:sz="1"/>
              <w:left w:val="single" w:color="C8D4E4" w:sz="1"/>
              <w:bottom w:val="single" w:color="C8D4E4" w:sz="1"/>
              <w:right w:val="single" w:color="C8D4E4" w:sz="1"/>
            </w:tcBorders>
            <w:shd w:fill="EEF1F7" w:val="clear"/>
            <w:tcMar>
              <w:top w:type="dxa" w:w="60"/>
              <w:left w:type="dxa" w:w="120"/>
              <w:bottom w:type="dxa" w:w="60"/>
              <w:right w:type="dxa" w:w="120"/>
            </w:tcMar>
          </w:tcPr>
          <w:p>
            <w:r>
              <w:rPr>
                <w:rFonts w:ascii="Arial" w:cs="Arial" w:eastAsia="Arial" w:hAnsi="Arial"/>
                <w:b/>
                <w:bCs/>
                <w:i w:val="false"/>
                <w:iCs w:val="false"/>
                <w:color w:val="1B2A4A"/>
                <w:sz w:val="19"/>
                <w:szCs w:val="19"/>
              </w:rPr>
              <w:t xml:space="preserve">ECC Domain</w:t>
            </w:r>
          </w:p>
        </w:tc>
        <w:tc>
          <w:tcPr>
            <w:tcW w:type="dxa" w:w="7746"/>
            <w:tcBorders>
              <w:top w:val="single" w:color="C8D4E4" w:sz="1"/>
              <w:left w:val="single" w:color="C8D4E4" w:sz="1"/>
              <w:bottom w:val="single" w:color="C8D4E4" w:sz="1"/>
              <w:right w:val="single" w:color="C8D4E4" w:sz="1"/>
            </w:tcBorders>
            <w:tcMar>
              <w:top w:type="dxa" w:w="60"/>
              <w:left w:type="dxa" w:w="120"/>
              <w:bottom w:type="dxa" w:w="60"/>
              <w:right w:type="dxa" w:w="120"/>
            </w:tcMar>
          </w:tcPr>
          <w:p>
            <w:r>
              <w:rPr>
                <w:rFonts w:ascii="Arial" w:cs="Arial" w:eastAsia="Arial" w:hAnsi="Arial"/>
                <w:b w:val="false"/>
                <w:bCs w:val="false"/>
                <w:i w:val="false"/>
                <w:iCs w:val="false"/>
                <w:color w:val="1A1A1A"/>
                <w:sz w:val="19"/>
                <w:szCs w:val="19"/>
              </w:rPr>
              <w:t xml:space="preserve">Domain 3 — Cybersecurity Operations (ECC 3-3)</w:t>
            </w:r>
          </w:p>
        </w:tc>
      </w:tr>
      <w:tr>
        <w:tc>
          <w:tcPr>
            <w:tcW w:type="dxa" w:w="2000"/>
            <w:tcBorders>
              <w:top w:val="single" w:color="C8D4E4" w:sz="1"/>
              <w:left w:val="single" w:color="C8D4E4" w:sz="1"/>
              <w:bottom w:val="single" w:color="C8D4E4" w:sz="1"/>
              <w:right w:val="single" w:color="C8D4E4" w:sz="1"/>
            </w:tcBorders>
            <w:shd w:fill="EEF1F7" w:val="clear"/>
            <w:tcMar>
              <w:top w:type="dxa" w:w="60"/>
              <w:left w:type="dxa" w:w="120"/>
              <w:bottom w:type="dxa" w:w="60"/>
              <w:right w:type="dxa" w:w="120"/>
            </w:tcMar>
          </w:tcPr>
          <w:p>
            <w:r>
              <w:rPr>
                <w:rFonts w:ascii="Arial" w:cs="Arial" w:eastAsia="Arial" w:hAnsi="Arial"/>
                <w:b/>
                <w:bCs/>
                <w:i w:val="false"/>
                <w:iCs w:val="false"/>
                <w:color w:val="1B2A4A"/>
                <w:sz w:val="19"/>
                <w:szCs w:val="19"/>
              </w:rPr>
              <w:t xml:space="preserve">Risk Reference</w:t>
            </w:r>
          </w:p>
        </w:tc>
        <w:tc>
          <w:tcPr>
            <w:tcW w:type="dxa" w:w="7746"/>
            <w:tcBorders>
              <w:top w:val="single" w:color="C8D4E4" w:sz="1"/>
              <w:left w:val="single" w:color="C8D4E4" w:sz="1"/>
              <w:bottom w:val="single" w:color="C8D4E4" w:sz="1"/>
              <w:right w:val="single" w:color="C8D4E4" w:sz="1"/>
            </w:tcBorders>
            <w:tcMar>
              <w:top w:type="dxa" w:w="60"/>
              <w:left w:type="dxa" w:w="120"/>
              <w:bottom w:type="dxa" w:w="60"/>
              <w:right w:type="dxa" w:w="120"/>
            </w:tcMar>
          </w:tcPr>
          <w:p>
            <w:r>
              <w:rPr>
                <w:rFonts w:ascii="Arial" w:cs="Arial" w:eastAsia="Arial" w:hAnsi="Arial"/>
                <w:b w:val="false"/>
                <w:bCs w:val="false"/>
                <w:i w:val="false"/>
                <w:iCs w:val="false"/>
                <w:color w:val="1A1A1A"/>
                <w:sz w:val="19"/>
                <w:szCs w:val="19"/>
              </w:rPr>
              <w:t xml:space="preserve">R-003 (L5 × I5 = 25 — Critical LIVE RISK)</w:t>
            </w:r>
          </w:p>
        </w:tc>
      </w:tr>
    </w:tbl>
    <w:p>
      <w:pPr>
        <w:spacing w:after="0" w:before="80"/>
      </w:pPr>
      <w:r>
        <w:t xml:space="preserve"/>
      </w:r>
    </w:p>
    <w:p>
      <w:pPr>
        <w:spacing w:after="40" w:before="60"/>
      </w:pPr>
      <w:r>
        <w:rPr>
          <w:rFonts w:ascii="Arial" w:cs="Arial" w:eastAsia="Arial" w:hAnsi="Arial"/>
          <w:b/>
          <w:bCs/>
          <w:i w:val="false"/>
          <w:iCs w:val="false"/>
          <w:color w:val="1B2A4A"/>
          <w:sz w:val="20"/>
          <w:szCs w:val="20"/>
        </w:rPr>
        <w:t xml:space="preserve">Finding</w:t>
      </w:r>
    </w:p>
    <w:p>
      <w:pPr>
        <w:spacing w:after="120" w:before="80"/>
        <w:jc w:val="both"/>
      </w:pPr>
      <w:r>
        <w:rPr>
          <w:rFonts w:ascii="Arial" w:cs="Arial" w:eastAsia="Arial" w:hAnsi="Arial"/>
          <w:b w:val="false"/>
          <w:bCs w:val="false"/>
          <w:i w:val="false"/>
          <w:iCs w:val="false"/>
          <w:color w:val="1A1A1A"/>
          <w:sz w:val="20"/>
          <w:szCs w:val="20"/>
        </w:rPr>
        <w:t xml:space="preserve">Shared administrator accounts are in active use on the Oracle Insurance Policy Administration system. Multiple IT staff access the system using shared credentials, meaning there is no individual accountability for privileged actions performed on the organisation's core policy administration platform. This system holds all active insurance policies, premium data, and policyholder personal information. The use of shared credentials prevents forensic investigation of any privileged action, eliminates the possibility of effective privileged session monitoring, and means that credential compromise cannot be contained to a single user. This finding is classified as a live risk — it represents an active control failure requiring immediate remediation.</w:t>
      </w:r>
    </w:p>
    <w:p>
      <w:pPr>
        <w:spacing w:after="40" w:before="60"/>
      </w:pPr>
      <w:r>
        <w:rPr>
          <w:rFonts w:ascii="Arial" w:cs="Arial" w:eastAsia="Arial" w:hAnsi="Arial"/>
          <w:b/>
          <w:bCs/>
          <w:i w:val="false"/>
          <w:iCs w:val="false"/>
          <w:color w:val="1B2A4A"/>
          <w:sz w:val="20"/>
          <w:szCs w:val="20"/>
        </w:rPr>
        <w:t xml:space="preserve">Evidence Reviewed</w:t>
      </w:r>
    </w:p>
    <w:p>
      <w:pPr>
        <w:spacing w:after="120" w:before="80"/>
        <w:jc w:val="both"/>
      </w:pPr>
      <w:r>
        <w:rPr>
          <w:rFonts w:ascii="Arial" w:cs="Arial" w:eastAsia="Arial" w:hAnsi="Arial"/>
          <w:b w:val="false"/>
          <w:bCs w:val="false"/>
          <w:i w:val="false"/>
          <w:iCs w:val="false"/>
          <w:color w:val="1A1A1A"/>
          <w:sz w:val="20"/>
          <w:szCs w:val="20"/>
        </w:rPr>
        <w:t xml:space="preserve">Walkthrough of Oracle Insurance Policy Administration was conducted with the IT Systems Administrator. Shared administrator account usage was confirmed during interview and verified through the account list provided in response to E-022. Individual named administrator accounts do not exist for Oracle Insurance. Privileged session logging was confirmed to be absent. The shared credential has not been rotated within the past twelve months.</w:t>
      </w:r>
    </w:p>
    <w:p>
      <w:pPr>
        <w:spacing w:after="40" w:before="60"/>
      </w:pPr>
      <w:r>
        <w:rPr>
          <w:rFonts w:ascii="Arial" w:cs="Arial" w:eastAsia="Arial" w:hAnsi="Arial"/>
          <w:b/>
          <w:bCs/>
          <w:i w:val="false"/>
          <w:iCs w:val="false"/>
          <w:color w:val="1B2A4A"/>
          <w:sz w:val="20"/>
          <w:szCs w:val="20"/>
        </w:rPr>
        <w:t xml:space="preserve">Root Cause</w:t>
      </w:r>
    </w:p>
    <w:p>
      <w:pPr>
        <w:spacing w:after="120" w:before="80"/>
        <w:jc w:val="both"/>
      </w:pPr>
      <w:r>
        <w:rPr>
          <w:rFonts w:ascii="Arial" w:cs="Arial" w:eastAsia="Arial" w:hAnsi="Arial"/>
          <w:b w:val="false"/>
          <w:bCs w:val="false"/>
          <w:i w:val="false"/>
          <w:iCs w:val="false"/>
          <w:color w:val="1A1A1A"/>
          <w:sz w:val="20"/>
          <w:szCs w:val="20"/>
        </w:rPr>
        <w:t xml:space="preserve">Privileged access management has not been formally established. The use of shared credentials on Oracle Insurance reflects an operational convenience practice that has persisted in the absence of a privileged access policy, PAM tooling, or governance oversight. The shared credential has likely propagated beyond the current IT team given staff turnover.</w:t>
      </w:r>
    </w:p>
    <w:p>
      <w:pPr>
        <w:spacing w:after="40" w:before="60"/>
      </w:pPr>
      <w:r>
        <w:rPr>
          <w:rFonts w:ascii="Arial" w:cs="Arial" w:eastAsia="Arial" w:hAnsi="Arial"/>
          <w:b/>
          <w:bCs/>
          <w:i w:val="false"/>
          <w:iCs w:val="false"/>
          <w:color w:val="1B2A4A"/>
          <w:sz w:val="20"/>
          <w:szCs w:val="20"/>
        </w:rPr>
        <w:t xml:space="preserve">Recommendation</w:t>
      </w:r>
    </w:p>
    <w:p>
      <w:pPr>
        <w:spacing w:after="120" w:before="80"/>
        <w:jc w:val="both"/>
      </w:pPr>
      <w:r>
        <w:rPr>
          <w:rFonts w:ascii="Arial" w:cs="Arial" w:eastAsia="Arial" w:hAnsi="Arial"/>
          <w:b w:val="false"/>
          <w:bCs w:val="false"/>
          <w:i w:val="false"/>
          <w:iCs w:val="false"/>
          <w:color w:val="1A1A1A"/>
          <w:sz w:val="20"/>
          <w:szCs w:val="20"/>
        </w:rPr>
        <w:t xml:space="preserve">Immediately create individually named administrator accounts on Oracle Insurance for each authorised administrator and disable the shared account. Rotate all administrative credentials on Oracle Insurance as an emergency action. Implement privileged session logging on Oracle Insurance. Develop and implement a Privileged Access Management policy covering account provisioning, credential management, session logging, and quarterly access review. This action must be treated as an immediate priority independent of the phased remediation schedule.</w:t>
      </w:r>
    </w:p>
    <w:p>
      <w:pPr>
        <w:spacing w:after="0" w:before="1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7046"/>
        <w:gridCol w:w="1500"/>
      </w:tblGrid>
      <w:tr>
        <w:tc>
          <w:tcPr>
            <w:tcW w:type="dxa" w:w="1200"/>
            <w:tcBorders>
              <w:top w:val="single" w:color="C8D4E4" w:sz="1"/>
              <w:left w:val="single" w:color="C8D4E4" w:sz="1"/>
              <w:bottom w:val="single" w:color="C8D4E4" w:sz="1"/>
              <w:right w:val="single" w:color="C8D4E4"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C8A951"/>
                <w:sz w:val="20"/>
                <w:szCs w:val="20"/>
              </w:rPr>
              <w:t xml:space="preserve">F-008</w:t>
            </w:r>
          </w:p>
        </w:tc>
        <w:tc>
          <w:tcPr>
            <w:tcW w:type="dxa" w:w="7046"/>
            <w:tcBorders>
              <w:top w:val="single" w:color="C8D4E4" w:sz="1"/>
              <w:left w:val="single" w:color="C8D4E4" w:sz="1"/>
              <w:bottom w:val="single" w:color="C8D4E4" w:sz="1"/>
              <w:right w:val="single" w:color="C8D4E4" w:sz="1"/>
            </w:tcBorders>
            <w:shd w:fill="1B2A4A"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Vulnerability Management Ad Hoc — No Schedule or Patch SLA</w:t>
            </w:r>
          </w:p>
        </w:tc>
        <w:tc>
          <w:tcPr>
            <w:tcW w:type="dxa" w:w="1500"/>
            <w:tcBorders>
              <w:top w:val="single" w:color="C8D4E4" w:sz="1"/>
              <w:left w:val="single" w:color="C8D4E4" w:sz="1"/>
              <w:bottom w:val="single" w:color="C8D4E4" w:sz="1"/>
              <w:right w:val="single" w:color="C8D4E4"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B8860B"/>
                <w:sz w:val="20"/>
                <w:szCs w:val="20"/>
              </w:rPr>
              <w:t xml:space="preserve">High</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8D4E4" w:sz="1"/>
              <w:left w:val="single" w:color="C8D4E4" w:sz="1"/>
              <w:bottom w:val="single" w:color="C8D4E4" w:sz="1"/>
              <w:right w:val="single" w:color="C8D4E4" w:sz="1"/>
            </w:tcBorders>
            <w:shd w:fill="EEF1F7" w:val="clear"/>
            <w:tcMar>
              <w:top w:type="dxa" w:w="60"/>
              <w:left w:type="dxa" w:w="120"/>
              <w:bottom w:type="dxa" w:w="60"/>
              <w:right w:type="dxa" w:w="120"/>
            </w:tcMar>
          </w:tcPr>
          <w:p>
            <w:r>
              <w:rPr>
                <w:rFonts w:ascii="Arial" w:cs="Arial" w:eastAsia="Arial" w:hAnsi="Arial"/>
                <w:b/>
                <w:bCs/>
                <w:i w:val="false"/>
                <w:iCs w:val="false"/>
                <w:color w:val="1B2A4A"/>
                <w:sz w:val="19"/>
                <w:szCs w:val="19"/>
              </w:rPr>
              <w:t xml:space="preserve">ECC Domain</w:t>
            </w:r>
          </w:p>
        </w:tc>
        <w:tc>
          <w:tcPr>
            <w:tcW w:type="dxa" w:w="7746"/>
            <w:tcBorders>
              <w:top w:val="single" w:color="C8D4E4" w:sz="1"/>
              <w:left w:val="single" w:color="C8D4E4" w:sz="1"/>
              <w:bottom w:val="single" w:color="C8D4E4" w:sz="1"/>
              <w:right w:val="single" w:color="C8D4E4" w:sz="1"/>
            </w:tcBorders>
            <w:tcMar>
              <w:top w:type="dxa" w:w="60"/>
              <w:left w:type="dxa" w:w="120"/>
              <w:bottom w:type="dxa" w:w="60"/>
              <w:right w:type="dxa" w:w="120"/>
            </w:tcMar>
          </w:tcPr>
          <w:p>
            <w:r>
              <w:rPr>
                <w:rFonts w:ascii="Arial" w:cs="Arial" w:eastAsia="Arial" w:hAnsi="Arial"/>
                <w:b w:val="false"/>
                <w:bCs w:val="false"/>
                <w:i w:val="false"/>
                <w:iCs w:val="false"/>
                <w:color w:val="1A1A1A"/>
                <w:sz w:val="19"/>
                <w:szCs w:val="19"/>
              </w:rPr>
              <w:t xml:space="preserve">Domain 3 — Cybersecurity Operations (ECC 3-5)</w:t>
            </w:r>
          </w:p>
        </w:tc>
      </w:tr>
      <w:tr>
        <w:tc>
          <w:tcPr>
            <w:tcW w:type="dxa" w:w="2000"/>
            <w:tcBorders>
              <w:top w:val="single" w:color="C8D4E4" w:sz="1"/>
              <w:left w:val="single" w:color="C8D4E4" w:sz="1"/>
              <w:bottom w:val="single" w:color="C8D4E4" w:sz="1"/>
              <w:right w:val="single" w:color="C8D4E4" w:sz="1"/>
            </w:tcBorders>
            <w:shd w:fill="EEF1F7" w:val="clear"/>
            <w:tcMar>
              <w:top w:type="dxa" w:w="60"/>
              <w:left w:type="dxa" w:w="120"/>
              <w:bottom w:type="dxa" w:w="60"/>
              <w:right w:type="dxa" w:w="120"/>
            </w:tcMar>
          </w:tcPr>
          <w:p>
            <w:r>
              <w:rPr>
                <w:rFonts w:ascii="Arial" w:cs="Arial" w:eastAsia="Arial" w:hAnsi="Arial"/>
                <w:b/>
                <w:bCs/>
                <w:i w:val="false"/>
                <w:iCs w:val="false"/>
                <w:color w:val="1B2A4A"/>
                <w:sz w:val="19"/>
                <w:szCs w:val="19"/>
              </w:rPr>
              <w:t xml:space="preserve">Risk Reference</w:t>
            </w:r>
          </w:p>
        </w:tc>
        <w:tc>
          <w:tcPr>
            <w:tcW w:type="dxa" w:w="7746"/>
            <w:tcBorders>
              <w:top w:val="single" w:color="C8D4E4" w:sz="1"/>
              <w:left w:val="single" w:color="C8D4E4" w:sz="1"/>
              <w:bottom w:val="single" w:color="C8D4E4" w:sz="1"/>
              <w:right w:val="single" w:color="C8D4E4" w:sz="1"/>
            </w:tcBorders>
            <w:tcMar>
              <w:top w:type="dxa" w:w="60"/>
              <w:left w:type="dxa" w:w="120"/>
              <w:bottom w:type="dxa" w:w="60"/>
              <w:right w:type="dxa" w:w="120"/>
            </w:tcMar>
          </w:tcPr>
          <w:p>
            <w:r>
              <w:rPr>
                <w:rFonts w:ascii="Arial" w:cs="Arial" w:eastAsia="Arial" w:hAnsi="Arial"/>
                <w:b w:val="false"/>
                <w:bCs w:val="false"/>
                <w:i w:val="false"/>
                <w:iCs w:val="false"/>
                <w:color w:val="1A1A1A"/>
                <w:sz w:val="19"/>
                <w:szCs w:val="19"/>
              </w:rPr>
              <w:t xml:space="preserve">R-005 (L4 × I4 = 16 — High)</w:t>
            </w:r>
          </w:p>
        </w:tc>
      </w:tr>
    </w:tbl>
    <w:p>
      <w:pPr>
        <w:spacing w:after="0" w:before="80"/>
      </w:pPr>
      <w:r>
        <w:t xml:space="preserve"/>
      </w:r>
    </w:p>
    <w:p>
      <w:pPr>
        <w:spacing w:after="40" w:before="60"/>
      </w:pPr>
      <w:r>
        <w:rPr>
          <w:rFonts w:ascii="Arial" w:cs="Arial" w:eastAsia="Arial" w:hAnsi="Arial"/>
          <w:b/>
          <w:bCs/>
          <w:i w:val="false"/>
          <w:iCs w:val="false"/>
          <w:color w:val="1B2A4A"/>
          <w:sz w:val="20"/>
          <w:szCs w:val="20"/>
        </w:rPr>
        <w:t xml:space="preserve">Finding</w:t>
      </w:r>
    </w:p>
    <w:p>
      <w:pPr>
        <w:spacing w:after="120" w:before="80"/>
        <w:jc w:val="both"/>
      </w:pPr>
      <w:r>
        <w:rPr>
          <w:rFonts w:ascii="Arial" w:cs="Arial" w:eastAsia="Arial" w:hAnsi="Arial"/>
          <w:b w:val="false"/>
          <w:bCs w:val="false"/>
          <w:i w:val="false"/>
          <w:iCs w:val="false"/>
          <w:color w:val="1A1A1A"/>
          <w:sz w:val="20"/>
          <w:szCs w:val="20"/>
        </w:rPr>
        <w:t xml:space="preserve">Al Ameen Insurance Company has no scheduled vulnerability management programme. Vulnerability scanning is not performed on a defined schedule. Patch management is reactive — patches are applied only when system instability or vendor notification prompts action. No patch SLA exists defining remediation timeframes by vulnerability severity. No vulnerability tracking register is maintained. Critical and high-severity vulnerabilities may remain unpatched for extended periods without detection.</w:t>
      </w:r>
    </w:p>
    <w:p>
      <w:pPr>
        <w:spacing w:after="40" w:before="60"/>
      </w:pPr>
      <w:r>
        <w:rPr>
          <w:rFonts w:ascii="Arial" w:cs="Arial" w:eastAsia="Arial" w:hAnsi="Arial"/>
          <w:b/>
          <w:bCs/>
          <w:i w:val="false"/>
          <w:iCs w:val="false"/>
          <w:color w:val="1B2A4A"/>
          <w:sz w:val="20"/>
          <w:szCs w:val="20"/>
        </w:rPr>
        <w:t xml:space="preserve">Evidence Reviewed</w:t>
      </w:r>
    </w:p>
    <w:p>
      <w:pPr>
        <w:spacing w:after="120" w:before="80"/>
        <w:jc w:val="both"/>
      </w:pPr>
      <w:r>
        <w:rPr>
          <w:rFonts w:ascii="Arial" w:cs="Arial" w:eastAsia="Arial" w:hAnsi="Arial"/>
          <w:b w:val="false"/>
          <w:bCs w:val="false"/>
          <w:i w:val="false"/>
          <w:iCs w:val="false"/>
          <w:color w:val="1A1A1A"/>
          <w:sz w:val="20"/>
          <w:szCs w:val="20"/>
        </w:rPr>
        <w:t xml:space="preserve">Vulnerability scan reports were requested via E-016. No scan reports were produced. Patch management policy and patch status report were requested via E-017. No patch management policy was produced. IT Operations Manager confirmed during interview that patching is performed on an ad hoc basis. No vulnerability scanning tool was identified during the system walkthrough.</w:t>
      </w:r>
    </w:p>
    <w:p>
      <w:pPr>
        <w:spacing w:after="40" w:before="60"/>
      </w:pPr>
      <w:r>
        <w:rPr>
          <w:rFonts w:ascii="Arial" w:cs="Arial" w:eastAsia="Arial" w:hAnsi="Arial"/>
          <w:b/>
          <w:bCs/>
          <w:i w:val="false"/>
          <w:iCs w:val="false"/>
          <w:color w:val="1B2A4A"/>
          <w:sz w:val="20"/>
          <w:szCs w:val="20"/>
        </w:rPr>
        <w:t xml:space="preserve">Root Cause</w:t>
      </w:r>
    </w:p>
    <w:p>
      <w:pPr>
        <w:spacing w:after="120" w:before="80"/>
        <w:jc w:val="both"/>
      </w:pPr>
      <w:r>
        <w:rPr>
          <w:rFonts w:ascii="Arial" w:cs="Arial" w:eastAsia="Arial" w:hAnsi="Arial"/>
          <w:b w:val="false"/>
          <w:bCs w:val="false"/>
          <w:i w:val="false"/>
          <w:iCs w:val="false"/>
          <w:color w:val="1A1A1A"/>
          <w:sz w:val="20"/>
          <w:szCs w:val="20"/>
        </w:rPr>
        <w:t xml:space="preserve">Vulnerability management has not been formalised as a programme. Patching is performed reactively by the IT team without a defined process, schedule, or ownership structure. The absence of vulnerability scanning means the organisation has no baseline visibility of its exposure across Oracle Insurance, Guidewire ClaimCenter, and Azure workloads.</w:t>
      </w:r>
    </w:p>
    <w:p>
      <w:pPr>
        <w:spacing w:after="40" w:before="60"/>
      </w:pPr>
      <w:r>
        <w:rPr>
          <w:rFonts w:ascii="Arial" w:cs="Arial" w:eastAsia="Arial" w:hAnsi="Arial"/>
          <w:b/>
          <w:bCs/>
          <w:i w:val="false"/>
          <w:iCs w:val="false"/>
          <w:color w:val="1B2A4A"/>
          <w:sz w:val="20"/>
          <w:szCs w:val="20"/>
        </w:rPr>
        <w:t xml:space="preserve">Recommendation</w:t>
      </w:r>
    </w:p>
    <w:p>
      <w:pPr>
        <w:spacing w:after="120" w:before="80"/>
        <w:jc w:val="both"/>
      </w:pPr>
      <w:r>
        <w:rPr>
          <w:rFonts w:ascii="Arial" w:cs="Arial" w:eastAsia="Arial" w:hAnsi="Arial"/>
          <w:b w:val="false"/>
          <w:bCs w:val="false"/>
          <w:i w:val="false"/>
          <w:iCs w:val="false"/>
          <w:color w:val="1A1A1A"/>
          <w:sz w:val="20"/>
          <w:szCs w:val="20"/>
        </w:rPr>
        <w:t xml:space="preserve">Implement a scheduled vulnerability scanning programme covering all in-scope systems — Oracle Insurance, Guidewire ClaimCenter, Azure workloads, and endpoint estate — at minimum monthly for internal assets and quarterly for perimeter-facing systems. Define patch SLAs by severity: Critical — 72 hours; High — 7 days; Medium — 30 days; Low — 90 days. Establish a vulnerability tracking register. Report patch compliance status to management monthly.</w:t>
      </w:r>
    </w:p>
    <w:p>
      <w:pPr>
        <w:spacing w:after="0" w:before="1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7046"/>
        <w:gridCol w:w="1500"/>
      </w:tblGrid>
      <w:tr>
        <w:tc>
          <w:tcPr>
            <w:tcW w:type="dxa" w:w="1200"/>
            <w:tcBorders>
              <w:top w:val="single" w:color="C8D4E4" w:sz="1"/>
              <w:left w:val="single" w:color="C8D4E4" w:sz="1"/>
              <w:bottom w:val="single" w:color="C8D4E4" w:sz="1"/>
              <w:right w:val="single" w:color="C8D4E4"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C8A951"/>
                <w:sz w:val="20"/>
                <w:szCs w:val="20"/>
              </w:rPr>
              <w:t xml:space="preserve">F-009</w:t>
            </w:r>
          </w:p>
        </w:tc>
        <w:tc>
          <w:tcPr>
            <w:tcW w:type="dxa" w:w="7046"/>
            <w:tcBorders>
              <w:top w:val="single" w:color="C8D4E4" w:sz="1"/>
              <w:left w:val="single" w:color="C8D4E4" w:sz="1"/>
              <w:bottom w:val="single" w:color="C8D4E4" w:sz="1"/>
              <w:right w:val="single" w:color="C8D4E4" w:sz="1"/>
            </w:tcBorders>
            <w:shd w:fill="1B2A4A"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No Incident Response Procedure Documented or Tested</w:t>
            </w:r>
          </w:p>
        </w:tc>
        <w:tc>
          <w:tcPr>
            <w:tcW w:type="dxa" w:w="1500"/>
            <w:tcBorders>
              <w:top w:val="single" w:color="C8D4E4" w:sz="1"/>
              <w:left w:val="single" w:color="C8D4E4" w:sz="1"/>
              <w:bottom w:val="single" w:color="C8D4E4" w:sz="1"/>
              <w:right w:val="single" w:color="C8D4E4"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B8860B"/>
                <w:sz w:val="20"/>
                <w:szCs w:val="20"/>
              </w:rPr>
              <w:t xml:space="preserve">High</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8D4E4" w:sz="1"/>
              <w:left w:val="single" w:color="C8D4E4" w:sz="1"/>
              <w:bottom w:val="single" w:color="C8D4E4" w:sz="1"/>
              <w:right w:val="single" w:color="C8D4E4" w:sz="1"/>
            </w:tcBorders>
            <w:shd w:fill="EEF1F7" w:val="clear"/>
            <w:tcMar>
              <w:top w:type="dxa" w:w="60"/>
              <w:left w:type="dxa" w:w="120"/>
              <w:bottom w:type="dxa" w:w="60"/>
              <w:right w:type="dxa" w:w="120"/>
            </w:tcMar>
          </w:tcPr>
          <w:p>
            <w:r>
              <w:rPr>
                <w:rFonts w:ascii="Arial" w:cs="Arial" w:eastAsia="Arial" w:hAnsi="Arial"/>
                <w:b/>
                <w:bCs/>
                <w:i w:val="false"/>
                <w:iCs w:val="false"/>
                <w:color w:val="1B2A4A"/>
                <w:sz w:val="19"/>
                <w:szCs w:val="19"/>
              </w:rPr>
              <w:t xml:space="preserve">ECC Domain</w:t>
            </w:r>
          </w:p>
        </w:tc>
        <w:tc>
          <w:tcPr>
            <w:tcW w:type="dxa" w:w="7746"/>
            <w:tcBorders>
              <w:top w:val="single" w:color="C8D4E4" w:sz="1"/>
              <w:left w:val="single" w:color="C8D4E4" w:sz="1"/>
              <w:bottom w:val="single" w:color="C8D4E4" w:sz="1"/>
              <w:right w:val="single" w:color="C8D4E4" w:sz="1"/>
            </w:tcBorders>
            <w:tcMar>
              <w:top w:type="dxa" w:w="60"/>
              <w:left w:type="dxa" w:w="120"/>
              <w:bottom w:type="dxa" w:w="60"/>
              <w:right w:type="dxa" w:w="120"/>
            </w:tcMar>
          </w:tcPr>
          <w:p>
            <w:r>
              <w:rPr>
                <w:rFonts w:ascii="Arial" w:cs="Arial" w:eastAsia="Arial" w:hAnsi="Arial"/>
                <w:b w:val="false"/>
                <w:bCs w:val="false"/>
                <w:i w:val="false"/>
                <w:iCs w:val="false"/>
                <w:color w:val="1A1A1A"/>
                <w:sz w:val="19"/>
                <w:szCs w:val="19"/>
              </w:rPr>
              <w:t xml:space="preserve">Domain 3 — Cybersecurity Operations (ECC 3-7)</w:t>
            </w:r>
          </w:p>
        </w:tc>
      </w:tr>
      <w:tr>
        <w:tc>
          <w:tcPr>
            <w:tcW w:type="dxa" w:w="2000"/>
            <w:tcBorders>
              <w:top w:val="single" w:color="C8D4E4" w:sz="1"/>
              <w:left w:val="single" w:color="C8D4E4" w:sz="1"/>
              <w:bottom w:val="single" w:color="C8D4E4" w:sz="1"/>
              <w:right w:val="single" w:color="C8D4E4" w:sz="1"/>
            </w:tcBorders>
            <w:shd w:fill="EEF1F7" w:val="clear"/>
            <w:tcMar>
              <w:top w:type="dxa" w:w="60"/>
              <w:left w:type="dxa" w:w="120"/>
              <w:bottom w:type="dxa" w:w="60"/>
              <w:right w:type="dxa" w:w="120"/>
            </w:tcMar>
          </w:tcPr>
          <w:p>
            <w:r>
              <w:rPr>
                <w:rFonts w:ascii="Arial" w:cs="Arial" w:eastAsia="Arial" w:hAnsi="Arial"/>
                <w:b/>
                <w:bCs/>
                <w:i w:val="false"/>
                <w:iCs w:val="false"/>
                <w:color w:val="1B2A4A"/>
                <w:sz w:val="19"/>
                <w:szCs w:val="19"/>
              </w:rPr>
              <w:t xml:space="preserve">Risk Reference</w:t>
            </w:r>
          </w:p>
        </w:tc>
        <w:tc>
          <w:tcPr>
            <w:tcW w:type="dxa" w:w="7746"/>
            <w:tcBorders>
              <w:top w:val="single" w:color="C8D4E4" w:sz="1"/>
              <w:left w:val="single" w:color="C8D4E4" w:sz="1"/>
              <w:bottom w:val="single" w:color="C8D4E4" w:sz="1"/>
              <w:right w:val="single" w:color="C8D4E4" w:sz="1"/>
            </w:tcBorders>
            <w:tcMar>
              <w:top w:type="dxa" w:w="60"/>
              <w:left w:type="dxa" w:w="120"/>
              <w:bottom w:type="dxa" w:w="60"/>
              <w:right w:type="dxa" w:w="120"/>
            </w:tcMar>
          </w:tcPr>
          <w:p>
            <w:r>
              <w:rPr>
                <w:rFonts w:ascii="Arial" w:cs="Arial" w:eastAsia="Arial" w:hAnsi="Arial"/>
                <w:b w:val="false"/>
                <w:bCs w:val="false"/>
                <w:i w:val="false"/>
                <w:iCs w:val="false"/>
                <w:color w:val="1A1A1A"/>
                <w:sz w:val="19"/>
                <w:szCs w:val="19"/>
              </w:rPr>
              <w:t xml:space="preserve">R-008 (L4 × I4 = 16 — High)</w:t>
            </w:r>
          </w:p>
        </w:tc>
      </w:tr>
    </w:tbl>
    <w:p>
      <w:pPr>
        <w:spacing w:after="0" w:before="80"/>
      </w:pPr>
      <w:r>
        <w:t xml:space="preserve"/>
      </w:r>
    </w:p>
    <w:p>
      <w:pPr>
        <w:spacing w:after="40" w:before="60"/>
      </w:pPr>
      <w:r>
        <w:rPr>
          <w:rFonts w:ascii="Arial" w:cs="Arial" w:eastAsia="Arial" w:hAnsi="Arial"/>
          <w:b/>
          <w:bCs/>
          <w:i w:val="false"/>
          <w:iCs w:val="false"/>
          <w:color w:val="1B2A4A"/>
          <w:sz w:val="20"/>
          <w:szCs w:val="20"/>
        </w:rPr>
        <w:t xml:space="preserve">Finding</w:t>
      </w:r>
    </w:p>
    <w:p>
      <w:pPr>
        <w:spacing w:after="120" w:before="80"/>
        <w:jc w:val="both"/>
      </w:pPr>
      <w:r>
        <w:rPr>
          <w:rFonts w:ascii="Arial" w:cs="Arial" w:eastAsia="Arial" w:hAnsi="Arial"/>
          <w:b w:val="false"/>
          <w:bCs w:val="false"/>
          <w:i w:val="false"/>
          <w:iCs w:val="false"/>
          <w:color w:val="1A1A1A"/>
          <w:sz w:val="20"/>
          <w:szCs w:val="20"/>
        </w:rPr>
        <w:t xml:space="preserve">Al Ameen Insurance Company has no documented incident response plan. No incident classification criteria, escalation paths, response roles, or communication procedures have been defined. No incident response team has been designated. No incident response exercises or tabletop simulations have been conducted. In the event of a cybersecurity incident — including ransomware, data breach, or system compromise — the organisation has no structured process to guide detection, containment, eradication, or recovery. This gap is particularly material given the sensitivity of policyholder data held in Oracle Insurance and the regulatory obligation to notify SAMA in the event of a significant cybersecurity incident.</w:t>
      </w:r>
    </w:p>
    <w:p>
      <w:pPr>
        <w:spacing w:after="40" w:before="60"/>
      </w:pPr>
      <w:r>
        <w:rPr>
          <w:rFonts w:ascii="Arial" w:cs="Arial" w:eastAsia="Arial" w:hAnsi="Arial"/>
          <w:b/>
          <w:bCs/>
          <w:i w:val="false"/>
          <w:iCs w:val="false"/>
          <w:color w:val="1B2A4A"/>
          <w:sz w:val="20"/>
          <w:szCs w:val="20"/>
        </w:rPr>
        <w:t xml:space="preserve">Evidence Reviewed</w:t>
      </w:r>
    </w:p>
    <w:p>
      <w:pPr>
        <w:spacing w:after="120" w:before="80"/>
        <w:jc w:val="both"/>
      </w:pPr>
      <w:r>
        <w:rPr>
          <w:rFonts w:ascii="Arial" w:cs="Arial" w:eastAsia="Arial" w:hAnsi="Arial"/>
          <w:b w:val="false"/>
          <w:bCs w:val="false"/>
          <w:i w:val="false"/>
          <w:iCs w:val="false"/>
          <w:color w:val="1A1A1A"/>
          <w:sz w:val="20"/>
          <w:szCs w:val="20"/>
        </w:rPr>
        <w:t xml:space="preserve">Incident response plan was requested via E-029. No document was produced. Incident log was requested via E-030. The IT Operations Manager confirmed no formal incident log is maintained and no IR plan exists. No tabletop exercise or IR test records were produced. The SAMA breach notification procedure (E-047) was not produced as a standalone document.</w:t>
      </w:r>
    </w:p>
    <w:p>
      <w:pPr>
        <w:spacing w:after="40" w:before="60"/>
      </w:pPr>
      <w:r>
        <w:rPr>
          <w:rFonts w:ascii="Arial" w:cs="Arial" w:eastAsia="Arial" w:hAnsi="Arial"/>
          <w:b/>
          <w:bCs/>
          <w:i w:val="false"/>
          <w:iCs w:val="false"/>
          <w:color w:val="1B2A4A"/>
          <w:sz w:val="20"/>
          <w:szCs w:val="20"/>
        </w:rPr>
        <w:t xml:space="preserve">Root Cause</w:t>
      </w:r>
    </w:p>
    <w:p>
      <w:pPr>
        <w:spacing w:after="120" w:before="80"/>
        <w:jc w:val="both"/>
      </w:pPr>
      <w:r>
        <w:rPr>
          <w:rFonts w:ascii="Arial" w:cs="Arial" w:eastAsia="Arial" w:hAnsi="Arial"/>
          <w:b w:val="false"/>
          <w:bCs w:val="false"/>
          <w:i w:val="false"/>
          <w:iCs w:val="false"/>
          <w:color w:val="1A1A1A"/>
          <w:sz w:val="20"/>
          <w:szCs w:val="20"/>
        </w:rPr>
        <w:t xml:space="preserve">Incident response planning has not been initiated in the absence of governance ownership and a formal cybersecurity programme. The organisation is exposed to extended dwell times, uncoordinated response, and potential regulatory breach notification failures in the event of a security incident. The absence of an IR plan also means that the live risk identified in F-007 — shared admin credentials on Oracle Insurance — has no defined containment procedure if those credentials are compromised.</w:t>
      </w:r>
    </w:p>
    <w:p>
      <w:pPr>
        <w:spacing w:after="40" w:before="60"/>
      </w:pPr>
      <w:r>
        <w:rPr>
          <w:rFonts w:ascii="Arial" w:cs="Arial" w:eastAsia="Arial" w:hAnsi="Arial"/>
          <w:b/>
          <w:bCs/>
          <w:i w:val="false"/>
          <w:iCs w:val="false"/>
          <w:color w:val="1B2A4A"/>
          <w:sz w:val="20"/>
          <w:szCs w:val="20"/>
        </w:rPr>
        <w:t xml:space="preserve">Recommendation</w:t>
      </w:r>
    </w:p>
    <w:p>
      <w:pPr>
        <w:spacing w:after="120" w:before="80"/>
        <w:jc w:val="both"/>
      </w:pPr>
      <w:r>
        <w:rPr>
          <w:rFonts w:ascii="Arial" w:cs="Arial" w:eastAsia="Arial" w:hAnsi="Arial"/>
          <w:b w:val="false"/>
          <w:bCs w:val="false"/>
          <w:i w:val="false"/>
          <w:iCs w:val="false"/>
          <w:color w:val="1A1A1A"/>
          <w:sz w:val="20"/>
          <w:szCs w:val="20"/>
        </w:rPr>
        <w:t xml:space="preserve">Develop a cybersecurity incident response plan covering: incident classification and severity ratings; escalation paths and contact directory; designated IR roles and responsibilities; containment, eradication, and recovery procedures; SAMA regulatory notification obligations and timelines; and communication procedures for internal and external stakeholders. Conduct a tabletop exercise within 90 days of plan completion. Integrate IR procedures with the BCP/DRP programme (F-005). Assign a named IR plan owner.</w:t>
      </w:r>
    </w:p>
    <w:p>
      <w:pPr>
        <w:spacing w:after="0" w:before="1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7046"/>
        <w:gridCol w:w="1500"/>
      </w:tblGrid>
      <w:tr>
        <w:tc>
          <w:tcPr>
            <w:tcW w:type="dxa" w:w="1200"/>
            <w:tcBorders>
              <w:top w:val="single" w:color="C8D4E4" w:sz="1"/>
              <w:left w:val="single" w:color="C8D4E4" w:sz="1"/>
              <w:bottom w:val="single" w:color="C8D4E4" w:sz="1"/>
              <w:right w:val="single" w:color="C8D4E4"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C8A951"/>
                <w:sz w:val="20"/>
                <w:szCs w:val="20"/>
              </w:rPr>
              <w:t xml:space="preserve">F-010</w:t>
            </w:r>
          </w:p>
        </w:tc>
        <w:tc>
          <w:tcPr>
            <w:tcW w:type="dxa" w:w="7046"/>
            <w:tcBorders>
              <w:top w:val="single" w:color="C8D4E4" w:sz="1"/>
              <w:left w:val="single" w:color="C8D4E4" w:sz="1"/>
              <w:bottom w:val="single" w:color="C8D4E4" w:sz="1"/>
              <w:right w:val="single" w:color="C8D4E4" w:sz="1"/>
            </w:tcBorders>
            <w:shd w:fill="1B2A4A"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Audit Log Retention 30 Days — SAMA Requires 12 Months Minimum</w:t>
            </w:r>
          </w:p>
        </w:tc>
        <w:tc>
          <w:tcPr>
            <w:tcW w:type="dxa" w:w="1500"/>
            <w:tcBorders>
              <w:top w:val="single" w:color="C8D4E4" w:sz="1"/>
              <w:left w:val="single" w:color="C8D4E4" w:sz="1"/>
              <w:bottom w:val="single" w:color="C8D4E4" w:sz="1"/>
              <w:right w:val="single" w:color="C8D4E4"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B8860B"/>
                <w:sz w:val="20"/>
                <w:szCs w:val="20"/>
              </w:rPr>
              <w:t xml:space="preserve">High</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8D4E4" w:sz="1"/>
              <w:left w:val="single" w:color="C8D4E4" w:sz="1"/>
              <w:bottom w:val="single" w:color="C8D4E4" w:sz="1"/>
              <w:right w:val="single" w:color="C8D4E4" w:sz="1"/>
            </w:tcBorders>
            <w:shd w:fill="EEF1F7" w:val="clear"/>
            <w:tcMar>
              <w:top w:type="dxa" w:w="60"/>
              <w:left w:type="dxa" w:w="120"/>
              <w:bottom w:type="dxa" w:w="60"/>
              <w:right w:type="dxa" w:w="120"/>
            </w:tcMar>
          </w:tcPr>
          <w:p>
            <w:r>
              <w:rPr>
                <w:rFonts w:ascii="Arial" w:cs="Arial" w:eastAsia="Arial" w:hAnsi="Arial"/>
                <w:b/>
                <w:bCs/>
                <w:i w:val="false"/>
                <w:iCs w:val="false"/>
                <w:color w:val="1B2A4A"/>
                <w:sz w:val="19"/>
                <w:szCs w:val="19"/>
              </w:rPr>
              <w:t xml:space="preserve">ECC Domain</w:t>
            </w:r>
          </w:p>
        </w:tc>
        <w:tc>
          <w:tcPr>
            <w:tcW w:type="dxa" w:w="7746"/>
            <w:tcBorders>
              <w:top w:val="single" w:color="C8D4E4" w:sz="1"/>
              <w:left w:val="single" w:color="C8D4E4" w:sz="1"/>
              <w:bottom w:val="single" w:color="C8D4E4" w:sz="1"/>
              <w:right w:val="single" w:color="C8D4E4" w:sz="1"/>
            </w:tcBorders>
            <w:tcMar>
              <w:top w:type="dxa" w:w="60"/>
              <w:left w:type="dxa" w:w="120"/>
              <w:bottom w:type="dxa" w:w="60"/>
              <w:right w:type="dxa" w:w="120"/>
            </w:tcMar>
          </w:tcPr>
          <w:p>
            <w:r>
              <w:rPr>
                <w:rFonts w:ascii="Arial" w:cs="Arial" w:eastAsia="Arial" w:hAnsi="Arial"/>
                <w:b w:val="false"/>
                <w:bCs w:val="false"/>
                <w:i w:val="false"/>
                <w:iCs w:val="false"/>
                <w:color w:val="1A1A1A"/>
                <w:sz w:val="19"/>
                <w:szCs w:val="19"/>
              </w:rPr>
              <w:t xml:space="preserve">Domain 3 — Cybersecurity Operations (ECC 3-9)</w:t>
            </w:r>
          </w:p>
        </w:tc>
      </w:tr>
      <w:tr>
        <w:tc>
          <w:tcPr>
            <w:tcW w:type="dxa" w:w="2000"/>
            <w:tcBorders>
              <w:top w:val="single" w:color="C8D4E4" w:sz="1"/>
              <w:left w:val="single" w:color="C8D4E4" w:sz="1"/>
              <w:bottom w:val="single" w:color="C8D4E4" w:sz="1"/>
              <w:right w:val="single" w:color="C8D4E4" w:sz="1"/>
            </w:tcBorders>
            <w:shd w:fill="EEF1F7" w:val="clear"/>
            <w:tcMar>
              <w:top w:type="dxa" w:w="60"/>
              <w:left w:type="dxa" w:w="120"/>
              <w:bottom w:type="dxa" w:w="60"/>
              <w:right w:type="dxa" w:w="120"/>
            </w:tcMar>
          </w:tcPr>
          <w:p>
            <w:r>
              <w:rPr>
                <w:rFonts w:ascii="Arial" w:cs="Arial" w:eastAsia="Arial" w:hAnsi="Arial"/>
                <w:b/>
                <w:bCs/>
                <w:i w:val="false"/>
                <w:iCs w:val="false"/>
                <w:color w:val="1B2A4A"/>
                <w:sz w:val="19"/>
                <w:szCs w:val="19"/>
              </w:rPr>
              <w:t xml:space="preserve">Risk Reference</w:t>
            </w:r>
          </w:p>
        </w:tc>
        <w:tc>
          <w:tcPr>
            <w:tcW w:type="dxa" w:w="7746"/>
            <w:tcBorders>
              <w:top w:val="single" w:color="C8D4E4" w:sz="1"/>
              <w:left w:val="single" w:color="C8D4E4" w:sz="1"/>
              <w:bottom w:val="single" w:color="C8D4E4" w:sz="1"/>
              <w:right w:val="single" w:color="C8D4E4" w:sz="1"/>
            </w:tcBorders>
            <w:tcMar>
              <w:top w:type="dxa" w:w="60"/>
              <w:left w:type="dxa" w:w="120"/>
              <w:bottom w:type="dxa" w:w="60"/>
              <w:right w:type="dxa" w:w="120"/>
            </w:tcMar>
          </w:tcPr>
          <w:p>
            <w:r>
              <w:rPr>
                <w:rFonts w:ascii="Arial" w:cs="Arial" w:eastAsia="Arial" w:hAnsi="Arial"/>
                <w:b w:val="false"/>
                <w:bCs w:val="false"/>
                <w:i w:val="false"/>
                <w:iCs w:val="false"/>
                <w:color w:val="1A1A1A"/>
                <w:sz w:val="19"/>
                <w:szCs w:val="19"/>
              </w:rPr>
              <w:t xml:space="preserve">R-009 (L5 × I4 = 20 — Critical)</w:t>
            </w:r>
          </w:p>
        </w:tc>
      </w:tr>
    </w:tbl>
    <w:p>
      <w:pPr>
        <w:spacing w:after="0" w:before="80"/>
      </w:pPr>
      <w:r>
        <w:t xml:space="preserve"/>
      </w:r>
    </w:p>
    <w:p>
      <w:pPr>
        <w:spacing w:after="40" w:before="60"/>
      </w:pPr>
      <w:r>
        <w:rPr>
          <w:rFonts w:ascii="Arial" w:cs="Arial" w:eastAsia="Arial" w:hAnsi="Arial"/>
          <w:b/>
          <w:bCs/>
          <w:i w:val="false"/>
          <w:iCs w:val="false"/>
          <w:color w:val="1B2A4A"/>
          <w:sz w:val="20"/>
          <w:szCs w:val="20"/>
        </w:rPr>
        <w:t xml:space="preserve">Finding</w:t>
      </w:r>
    </w:p>
    <w:p>
      <w:pPr>
        <w:spacing w:after="120" w:before="80"/>
        <w:jc w:val="both"/>
      </w:pPr>
      <w:r>
        <w:rPr>
          <w:rFonts w:ascii="Arial" w:cs="Arial" w:eastAsia="Arial" w:hAnsi="Arial"/>
          <w:b w:val="false"/>
          <w:bCs w:val="false"/>
          <w:i w:val="false"/>
          <w:iCs w:val="false"/>
          <w:color w:val="1A1A1A"/>
          <w:sz w:val="20"/>
          <w:szCs w:val="20"/>
        </w:rPr>
        <w:t xml:space="preserve">Audit logs across Al Ameen Insurance Company's critical systems are retained for 30 days only. SAMA CSF requires a minimum log retention period of 12 months. The 30-day retention period applies to Azure AD sign-in and audit logs, Oracle Insurance transaction logs, and Guidewire ClaimCenter activity logs. Logs are not centralised — no SIEM or log management platform is in place. The short retention period means that forensic investigation of any historical security incident is not possible beyond a 30-day window, and regulatory requests for historical audit evidence cannot be fulfilled.</w:t>
      </w:r>
    </w:p>
    <w:p>
      <w:pPr>
        <w:spacing w:after="40" w:before="60"/>
      </w:pPr>
      <w:r>
        <w:rPr>
          <w:rFonts w:ascii="Arial" w:cs="Arial" w:eastAsia="Arial" w:hAnsi="Arial"/>
          <w:b/>
          <w:bCs/>
          <w:i w:val="false"/>
          <w:iCs w:val="false"/>
          <w:color w:val="1B2A4A"/>
          <w:sz w:val="20"/>
          <w:szCs w:val="20"/>
        </w:rPr>
        <w:t xml:space="preserve">Evidence Reviewed</w:t>
      </w:r>
    </w:p>
    <w:p>
      <w:pPr>
        <w:spacing w:after="120" w:before="80"/>
        <w:jc w:val="both"/>
      </w:pPr>
      <w:r>
        <w:rPr>
          <w:rFonts w:ascii="Arial" w:cs="Arial" w:eastAsia="Arial" w:hAnsi="Arial"/>
          <w:b w:val="false"/>
          <w:bCs w:val="false"/>
          <w:i w:val="false"/>
          <w:iCs w:val="false"/>
          <w:color w:val="1A1A1A"/>
          <w:sz w:val="20"/>
          <w:szCs w:val="20"/>
        </w:rPr>
        <w:t xml:space="preserve">Log retention configuration was reviewed during the system walkthrough in response to E-027 and E-028. Azure AD log retention was confirmed at 30 days (P1 licence not in place). Oracle Insurance log configuration confirmed 30-day retention. No centralised log management or SIEM platform was identified. IT Operations Manager confirmed during interview that the 30-day retention is a default configuration that has not been reviewed.</w:t>
      </w:r>
    </w:p>
    <w:p>
      <w:pPr>
        <w:spacing w:after="40" w:before="60"/>
      </w:pPr>
      <w:r>
        <w:rPr>
          <w:rFonts w:ascii="Arial" w:cs="Arial" w:eastAsia="Arial" w:hAnsi="Arial"/>
          <w:b/>
          <w:bCs/>
          <w:i w:val="false"/>
          <w:iCs w:val="false"/>
          <w:color w:val="1B2A4A"/>
          <w:sz w:val="20"/>
          <w:szCs w:val="20"/>
        </w:rPr>
        <w:t xml:space="preserve">Root Cause</w:t>
      </w:r>
    </w:p>
    <w:p>
      <w:pPr>
        <w:spacing w:after="120" w:before="80"/>
        <w:jc w:val="both"/>
      </w:pPr>
      <w:r>
        <w:rPr>
          <w:rFonts w:ascii="Arial" w:cs="Arial" w:eastAsia="Arial" w:hAnsi="Arial"/>
          <w:b w:val="false"/>
          <w:bCs w:val="false"/>
          <w:i w:val="false"/>
          <w:iCs w:val="false"/>
          <w:color w:val="1A1A1A"/>
          <w:sz w:val="20"/>
          <w:szCs w:val="20"/>
        </w:rPr>
        <w:t xml:space="preserve">Log retention configuration has never been assessed against regulatory requirements. The default 30-day retention period reflects a configuration that was deployed without a security or compliance review. The absence of a SIEM or log management platform compounds this finding — without centralisation, even current logs are difficult to query and correlate across systems.</w:t>
      </w:r>
    </w:p>
    <w:p>
      <w:pPr>
        <w:spacing w:after="40" w:before="60"/>
      </w:pPr>
      <w:r>
        <w:rPr>
          <w:rFonts w:ascii="Arial" w:cs="Arial" w:eastAsia="Arial" w:hAnsi="Arial"/>
          <w:b/>
          <w:bCs/>
          <w:i w:val="false"/>
          <w:iCs w:val="false"/>
          <w:color w:val="1B2A4A"/>
          <w:sz w:val="20"/>
          <w:szCs w:val="20"/>
        </w:rPr>
        <w:t xml:space="preserve">Recommendation</w:t>
      </w:r>
    </w:p>
    <w:p>
      <w:pPr>
        <w:spacing w:after="120" w:before="80"/>
        <w:jc w:val="both"/>
      </w:pPr>
      <w:r>
        <w:rPr>
          <w:rFonts w:ascii="Arial" w:cs="Arial" w:eastAsia="Arial" w:hAnsi="Arial"/>
          <w:b w:val="false"/>
          <w:bCs w:val="false"/>
          <w:i w:val="false"/>
          <w:iCs w:val="false"/>
          <w:color w:val="1A1A1A"/>
          <w:sz w:val="20"/>
          <w:szCs w:val="20"/>
        </w:rPr>
        <w:t xml:space="preserve">Immediately extend audit log retention to a minimum of 12 months across all in-scope systems — Azure AD, Oracle Insurance, and Guidewire ClaimCenter. For Azure AD, upgrade to Azure AD P1 licence or configure Log Analytics workspace with 12-month retention. Implement a centralised log management solution to aggregate logs from all critical systems. Define log monitoring procedures with alert thresholds for key security events. Protect log integrity through access controls preventing modification or deletion of audit records.</w:t>
      </w:r>
    </w:p>
    <w:p>
      <w:pPr>
        <w:spacing w:after="0" w:before="160"/>
      </w:pPr>
      <w:r>
        <w:t xml:space="preserve"/>
      </w:r>
    </w:p>
    <w:p>
      <w:pPr>
        <w:spacing w:after="0" w:before="120"/>
      </w:pPr>
      <w:r>
        <w:t xml:space="preserve"/>
      </w:r>
    </w:p>
    <w:p>
      <w:r>
        <w:br w:type="page"/>
      </w:r>
    </w:p>
    <w:p>
      <w:pPr>
        <w:pStyle w:val="Heading1"/>
        <w:pBdr>
          <w:bottom w:val="single" w:color="C8A951" w:sz="4" w:space="4"/>
        </w:pBdr>
        <w:spacing w:after="160" w:before="320"/>
      </w:pPr>
      <w:r>
        <w:rPr>
          <w:rFonts w:ascii="Arial" w:cs="Arial" w:eastAsia="Arial" w:hAnsi="Arial"/>
          <w:b/>
          <w:bCs/>
          <w:i w:val="false"/>
          <w:iCs w:val="false"/>
          <w:color w:val="1B2A4A"/>
          <w:sz w:val="26"/>
          <w:szCs w:val="26"/>
        </w:rPr>
        <w:t xml:space="preserve">4.  SAMA Cybersecurity Framework — Maturity Assessment</w:t>
      </w:r>
    </w:p>
    <w:p>
      <w:pPr>
        <w:spacing w:after="120" w:before="80"/>
        <w:jc w:val="both"/>
      </w:pPr>
      <w:r>
        <w:rPr>
          <w:rFonts w:ascii="Arial" w:cs="Arial" w:eastAsia="Arial" w:hAnsi="Arial"/>
          <w:b w:val="false"/>
          <w:bCs w:val="false"/>
          <w:i w:val="false"/>
          <w:iCs w:val="false"/>
          <w:color w:val="1A1A1A"/>
          <w:sz w:val="20"/>
          <w:szCs w:val="20"/>
        </w:rPr>
        <w:t xml:space="preserve">The SAMA Cybersecurity Framework maturity assessment evaluated Al Ameen Insurance Company's cybersecurity programme across four pillars on a 1 to 4 maturity scale, where Level 1 (Initial) represents an ad hoc, undocumented state and Level 4 (Managed) represents a fully integrated, continuously optimised programme. The target maturity for all pillars is Level 3 (Defined) — a state in which cybersecurity processes are documented, implemented consistently, and subject to regular management oversight.</w:t>
      </w:r>
    </w:p>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500"/>
        <w:gridCol w:w="1400"/>
        <w:gridCol w:w="1400"/>
        <w:gridCol w:w="1400"/>
        <w:gridCol w:w="1046"/>
      </w:tblGrid>
      <w:tr>
        <w:tc>
          <w:tcPr>
            <w:tcW w:type="dxa" w:w="4500"/>
            <w:tcBorders>
              <w:top w:val="single" w:color="C8D4E4" w:sz="1"/>
              <w:left w:val="single" w:color="C8D4E4" w:sz="1"/>
              <w:bottom w:val="single" w:color="C8D4E4" w:sz="1"/>
              <w:right w:val="single" w:color="C8D4E4" w:sz="1"/>
            </w:tcBorders>
            <w:shd w:fill="1B2A4A"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Pillar</w:t>
            </w:r>
          </w:p>
        </w:tc>
        <w:tc>
          <w:tcPr>
            <w:tcW w:type="dxa" w:w="1400"/>
            <w:tcBorders>
              <w:top w:val="single" w:color="C8D4E4" w:sz="1"/>
              <w:left w:val="single" w:color="C8D4E4" w:sz="1"/>
              <w:bottom w:val="single" w:color="C8D4E4" w:sz="1"/>
              <w:right w:val="single" w:color="C8D4E4" w:sz="1"/>
            </w:tcBorders>
            <w:shd w:fill="1B2A4A"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Current Maturity</w:t>
            </w:r>
          </w:p>
        </w:tc>
        <w:tc>
          <w:tcPr>
            <w:tcW w:type="dxa" w:w="1400"/>
            <w:tcBorders>
              <w:top w:val="single" w:color="C8D4E4" w:sz="1"/>
              <w:left w:val="single" w:color="C8D4E4" w:sz="1"/>
              <w:bottom w:val="single" w:color="C8D4E4" w:sz="1"/>
              <w:right w:val="single" w:color="C8D4E4" w:sz="1"/>
            </w:tcBorders>
            <w:shd w:fill="1B2A4A"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Target Maturity</w:t>
            </w:r>
          </w:p>
        </w:tc>
        <w:tc>
          <w:tcPr>
            <w:tcW w:type="dxa" w:w="1400"/>
            <w:tcBorders>
              <w:top w:val="single" w:color="C8D4E4" w:sz="1"/>
              <w:left w:val="single" w:color="C8D4E4" w:sz="1"/>
              <w:bottom w:val="single" w:color="C8D4E4" w:sz="1"/>
              <w:right w:val="single" w:color="C8D4E4" w:sz="1"/>
            </w:tcBorders>
            <w:shd w:fill="1B2A4A"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Gap</w:t>
            </w:r>
          </w:p>
        </w:tc>
        <w:tc>
          <w:tcPr>
            <w:tcW w:type="dxa" w:w="1046"/>
            <w:tcBorders>
              <w:top w:val="single" w:color="C8D4E4" w:sz="1"/>
              <w:left w:val="single" w:color="C8D4E4" w:sz="1"/>
              <w:bottom w:val="single" w:color="C8D4E4" w:sz="1"/>
              <w:right w:val="single" w:color="C8D4E4" w:sz="1"/>
            </w:tcBorders>
            <w:shd w:fill="1B2A4A"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Status</w:t>
            </w:r>
          </w:p>
        </w:tc>
      </w:tr>
      <w:tr>
        <w:tc>
          <w:tcPr>
            <w:tcW w:type="dxa" w:w="4500"/>
            <w:tcBorders>
              <w:top w:val="single" w:color="C8D4E4" w:sz="1"/>
              <w:left w:val="single" w:color="C8D4E4" w:sz="1"/>
              <w:bottom w:val="single" w:color="C8D4E4" w:sz="1"/>
              <w:right w:val="single" w:color="C8D4E4" w:sz="1"/>
            </w:tcBorders>
            <w:shd w:fill="EEF1F7" w:val="clear"/>
            <w:tcMar>
              <w:top w:type="dxa" w:w="60"/>
              <w:left w:type="dxa" w:w="100"/>
              <w:bottom w:type="dxa" w:w="60"/>
              <w:right w:type="dxa" w:w="100"/>
            </w:tcMar>
          </w:tcPr>
          <w:p>
            <w:r>
              <w:rPr>
                <w:rFonts w:ascii="Arial" w:cs="Arial" w:eastAsia="Arial" w:hAnsi="Arial"/>
                <w:b w:val="false"/>
                <w:bCs w:val="false"/>
                <w:i w:val="false"/>
                <w:iCs w:val="false"/>
                <w:color w:val="1B2A4A"/>
                <w:sz w:val="18"/>
                <w:szCs w:val="18"/>
              </w:rPr>
              <w:t xml:space="preserve">1. Leadership &amp; Governance</w:t>
            </w:r>
          </w:p>
        </w:tc>
        <w:tc>
          <w:tcPr>
            <w:tcW w:type="dxa" w:w="1400"/>
            <w:tcBorders>
              <w:top w:val="single" w:color="C8D4E4" w:sz="1"/>
              <w:left w:val="single" w:color="C8D4E4" w:sz="1"/>
              <w:bottom w:val="single" w:color="C8D4E4" w:sz="1"/>
              <w:right w:val="single" w:color="C8D4E4" w:sz="1"/>
            </w:tcBorders>
            <w:shd w:fill="FCE4D6" w:val="clear"/>
            <w:tcMar>
              <w:top w:type="dxa" w:w="60"/>
              <w:left w:type="dxa" w:w="100"/>
              <w:bottom w:type="dxa" w:w="60"/>
              <w:right w:type="dxa" w:w="100"/>
            </w:tcMar>
          </w:tcPr>
          <w:p>
            <w:pPr>
              <w:jc w:val="center"/>
            </w:pPr>
            <w:r>
              <w:rPr>
                <w:rFonts w:ascii="Arial" w:cs="Arial" w:eastAsia="Arial" w:hAnsi="Arial"/>
                <w:b/>
                <w:bCs/>
                <w:i w:val="false"/>
                <w:iCs w:val="false"/>
                <w:color w:val="C00000"/>
                <w:sz w:val="18"/>
                <w:szCs w:val="18"/>
              </w:rPr>
              <w:t xml:space="preserve">1.5</w:t>
            </w:r>
          </w:p>
        </w:tc>
        <w:tc>
          <w:tcPr>
            <w:tcW w:type="dxa" w:w="1400"/>
            <w:tcBorders>
              <w:top w:val="single" w:color="C8D4E4" w:sz="1"/>
              <w:left w:val="single" w:color="C8D4E4" w:sz="1"/>
              <w:bottom w:val="single" w:color="C8D4E4" w:sz="1"/>
              <w:right w:val="single" w:color="C8D4E4" w:sz="1"/>
            </w:tcBorders>
            <w:shd w:fill="E8F0E8" w:val="clear"/>
            <w:tcMar>
              <w:top w:type="dxa" w:w="60"/>
              <w:left w:type="dxa" w:w="100"/>
              <w:bottom w:type="dxa" w:w="60"/>
              <w:right w:type="dxa" w:w="100"/>
            </w:tcMar>
          </w:tcPr>
          <w:p>
            <w:pPr>
              <w:jc w:val="center"/>
            </w:pPr>
            <w:r>
              <w:rPr>
                <w:rFonts w:ascii="Arial" w:cs="Arial" w:eastAsia="Arial" w:hAnsi="Arial"/>
                <w:b/>
                <w:bCs/>
                <w:i w:val="false"/>
                <w:iCs w:val="false"/>
                <w:color w:val="2D6A2D"/>
                <w:sz w:val="18"/>
                <w:szCs w:val="18"/>
              </w:rPr>
              <w:t xml:space="preserve">3.0</w:t>
            </w:r>
          </w:p>
        </w:tc>
        <w:tc>
          <w:tcPr>
            <w:tcW w:type="dxa" w:w="1400"/>
            <w:tcBorders>
              <w:top w:val="single" w:color="C8D4E4" w:sz="1"/>
              <w:left w:val="single" w:color="C8D4E4" w:sz="1"/>
              <w:bottom w:val="single" w:color="C8D4E4" w:sz="1"/>
              <w:right w:val="single" w:color="C8D4E4" w:sz="1"/>
            </w:tcBorders>
            <w:shd w:fill="FFF2CC" w:val="clear"/>
            <w:tcMar>
              <w:top w:type="dxa" w:w="60"/>
              <w:left w:type="dxa" w:w="100"/>
              <w:bottom w:type="dxa" w:w="60"/>
              <w:right w:type="dxa" w:w="100"/>
            </w:tcMar>
          </w:tcPr>
          <w:p>
            <w:pPr>
              <w:jc w:val="center"/>
            </w:pPr>
            <w:r>
              <w:rPr>
                <w:rFonts w:ascii="Arial" w:cs="Arial" w:eastAsia="Arial" w:hAnsi="Arial"/>
                <w:b/>
                <w:bCs/>
                <w:i w:val="false"/>
                <w:iCs w:val="false"/>
                <w:color w:val="B8860B"/>
                <w:sz w:val="18"/>
                <w:szCs w:val="18"/>
              </w:rPr>
              <w:t xml:space="preserve">1.5</w:t>
            </w:r>
          </w:p>
        </w:tc>
        <w:tc>
          <w:tcPr>
            <w:tcW w:type="dxa" w:w="1046"/>
            <w:tcBorders>
              <w:top w:val="single" w:color="C8D4E4" w:sz="1"/>
              <w:left w:val="single" w:color="C8D4E4" w:sz="1"/>
              <w:bottom w:val="single" w:color="C8D4E4" w:sz="1"/>
              <w:right w:val="single" w:color="C8D4E4" w:sz="1"/>
            </w:tcBorders>
            <w:shd w:fill="FFF2CC" w:val="clear"/>
            <w:tcMar>
              <w:top w:type="dxa" w:w="60"/>
              <w:left w:type="dxa" w:w="100"/>
              <w:bottom w:type="dxa" w:w="60"/>
              <w:right w:type="dxa" w:w="100"/>
            </w:tcMar>
          </w:tcPr>
          <w:p>
            <w:pPr>
              <w:jc w:val="center"/>
            </w:pPr>
            <w:r>
              <w:rPr>
                <w:rFonts w:ascii="Arial" w:cs="Arial" w:eastAsia="Arial" w:hAnsi="Arial"/>
                <w:b w:val="false"/>
                <w:bCs w:val="false"/>
                <w:i w:val="false"/>
                <w:iCs w:val="false"/>
                <w:color w:val="B8860B"/>
                <w:sz w:val="16"/>
                <w:szCs w:val="16"/>
              </w:rPr>
              <w:t xml:space="preserve">Below Target</w:t>
            </w:r>
          </w:p>
        </w:tc>
      </w:tr>
      <w:tr>
        <w:tc>
          <w:tcPr>
            <w:tcW w:type="dxa" w:w="4500"/>
            <w:tcBorders>
              <w:top w:val="single" w:color="C8D4E4" w:sz="1"/>
              <w:left w:val="single" w:color="C8D4E4" w:sz="1"/>
              <w:bottom w:val="single" w:color="C8D4E4" w:sz="1"/>
              <w:right w:val="single" w:color="C8D4E4"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B2A4A"/>
                <w:sz w:val="18"/>
                <w:szCs w:val="18"/>
              </w:rPr>
              <w:t xml:space="preserve">2. Risk &amp; Compliance</w:t>
            </w:r>
          </w:p>
        </w:tc>
        <w:tc>
          <w:tcPr>
            <w:tcW w:type="dxa" w:w="1400"/>
            <w:tcBorders>
              <w:top w:val="single" w:color="C8D4E4" w:sz="1"/>
              <w:left w:val="single" w:color="C8D4E4" w:sz="1"/>
              <w:bottom w:val="single" w:color="C8D4E4" w:sz="1"/>
              <w:right w:val="single" w:color="C8D4E4" w:sz="1"/>
            </w:tcBorders>
            <w:shd w:fill="FCE4D6" w:val="clear"/>
            <w:tcMar>
              <w:top w:type="dxa" w:w="60"/>
              <w:left w:type="dxa" w:w="100"/>
              <w:bottom w:type="dxa" w:w="60"/>
              <w:right w:type="dxa" w:w="100"/>
            </w:tcMar>
          </w:tcPr>
          <w:p>
            <w:pPr>
              <w:jc w:val="center"/>
            </w:pPr>
            <w:r>
              <w:rPr>
                <w:rFonts w:ascii="Arial" w:cs="Arial" w:eastAsia="Arial" w:hAnsi="Arial"/>
                <w:b/>
                <w:bCs/>
                <w:i w:val="false"/>
                <w:iCs w:val="false"/>
                <w:color w:val="C00000"/>
                <w:sz w:val="18"/>
                <w:szCs w:val="18"/>
              </w:rPr>
              <w:t xml:space="preserve">1.5</w:t>
            </w:r>
          </w:p>
        </w:tc>
        <w:tc>
          <w:tcPr>
            <w:tcW w:type="dxa" w:w="1400"/>
            <w:tcBorders>
              <w:top w:val="single" w:color="C8D4E4" w:sz="1"/>
              <w:left w:val="single" w:color="C8D4E4" w:sz="1"/>
              <w:bottom w:val="single" w:color="C8D4E4" w:sz="1"/>
              <w:right w:val="single" w:color="C8D4E4" w:sz="1"/>
            </w:tcBorders>
            <w:shd w:fill="E8F0E8" w:val="clear"/>
            <w:tcMar>
              <w:top w:type="dxa" w:w="60"/>
              <w:left w:type="dxa" w:w="100"/>
              <w:bottom w:type="dxa" w:w="60"/>
              <w:right w:type="dxa" w:w="100"/>
            </w:tcMar>
          </w:tcPr>
          <w:p>
            <w:pPr>
              <w:jc w:val="center"/>
            </w:pPr>
            <w:r>
              <w:rPr>
                <w:rFonts w:ascii="Arial" w:cs="Arial" w:eastAsia="Arial" w:hAnsi="Arial"/>
                <w:b/>
                <w:bCs/>
                <w:i w:val="false"/>
                <w:iCs w:val="false"/>
                <w:color w:val="2D6A2D"/>
                <w:sz w:val="18"/>
                <w:szCs w:val="18"/>
              </w:rPr>
              <w:t xml:space="preserve">3.0</w:t>
            </w:r>
          </w:p>
        </w:tc>
        <w:tc>
          <w:tcPr>
            <w:tcW w:type="dxa" w:w="1400"/>
            <w:tcBorders>
              <w:top w:val="single" w:color="C8D4E4" w:sz="1"/>
              <w:left w:val="single" w:color="C8D4E4" w:sz="1"/>
              <w:bottom w:val="single" w:color="C8D4E4" w:sz="1"/>
              <w:right w:val="single" w:color="C8D4E4" w:sz="1"/>
            </w:tcBorders>
            <w:shd w:fill="FFF2CC" w:val="clear"/>
            <w:tcMar>
              <w:top w:type="dxa" w:w="60"/>
              <w:left w:type="dxa" w:w="100"/>
              <w:bottom w:type="dxa" w:w="60"/>
              <w:right w:type="dxa" w:w="100"/>
            </w:tcMar>
          </w:tcPr>
          <w:p>
            <w:pPr>
              <w:jc w:val="center"/>
            </w:pPr>
            <w:r>
              <w:rPr>
                <w:rFonts w:ascii="Arial" w:cs="Arial" w:eastAsia="Arial" w:hAnsi="Arial"/>
                <w:b/>
                <w:bCs/>
                <w:i w:val="false"/>
                <w:iCs w:val="false"/>
                <w:color w:val="B8860B"/>
                <w:sz w:val="18"/>
                <w:szCs w:val="18"/>
              </w:rPr>
              <w:t xml:space="preserve">1.5</w:t>
            </w:r>
          </w:p>
        </w:tc>
        <w:tc>
          <w:tcPr>
            <w:tcW w:type="dxa" w:w="1046"/>
            <w:tcBorders>
              <w:top w:val="single" w:color="C8D4E4" w:sz="1"/>
              <w:left w:val="single" w:color="C8D4E4" w:sz="1"/>
              <w:bottom w:val="single" w:color="C8D4E4" w:sz="1"/>
              <w:right w:val="single" w:color="C8D4E4" w:sz="1"/>
            </w:tcBorders>
            <w:shd w:fill="FFF2CC" w:val="clear"/>
            <w:tcMar>
              <w:top w:type="dxa" w:w="60"/>
              <w:left w:type="dxa" w:w="100"/>
              <w:bottom w:type="dxa" w:w="60"/>
              <w:right w:type="dxa" w:w="100"/>
            </w:tcMar>
          </w:tcPr>
          <w:p>
            <w:pPr>
              <w:jc w:val="center"/>
            </w:pPr>
            <w:r>
              <w:rPr>
                <w:rFonts w:ascii="Arial" w:cs="Arial" w:eastAsia="Arial" w:hAnsi="Arial"/>
                <w:b w:val="false"/>
                <w:bCs w:val="false"/>
                <w:i w:val="false"/>
                <w:iCs w:val="false"/>
                <w:color w:val="B8860B"/>
                <w:sz w:val="16"/>
                <w:szCs w:val="16"/>
              </w:rPr>
              <w:t xml:space="preserve">Below Target</w:t>
            </w:r>
          </w:p>
        </w:tc>
      </w:tr>
      <w:tr>
        <w:tc>
          <w:tcPr>
            <w:tcW w:type="dxa" w:w="4500"/>
            <w:tcBorders>
              <w:top w:val="single" w:color="C8D4E4" w:sz="1"/>
              <w:left w:val="single" w:color="C8D4E4" w:sz="1"/>
              <w:bottom w:val="single" w:color="C8D4E4" w:sz="1"/>
              <w:right w:val="single" w:color="C8D4E4" w:sz="1"/>
            </w:tcBorders>
            <w:shd w:fill="EEF1F7" w:val="clear"/>
            <w:tcMar>
              <w:top w:type="dxa" w:w="60"/>
              <w:left w:type="dxa" w:w="100"/>
              <w:bottom w:type="dxa" w:w="60"/>
              <w:right w:type="dxa" w:w="100"/>
            </w:tcMar>
          </w:tcPr>
          <w:p>
            <w:r>
              <w:rPr>
                <w:rFonts w:ascii="Arial" w:cs="Arial" w:eastAsia="Arial" w:hAnsi="Arial"/>
                <w:b w:val="false"/>
                <w:bCs w:val="false"/>
                <w:i w:val="false"/>
                <w:iCs w:val="false"/>
                <w:color w:val="1B2A4A"/>
                <w:sz w:val="18"/>
                <w:szCs w:val="18"/>
              </w:rPr>
              <w:t xml:space="preserve">3. Operations &amp; Technology</w:t>
            </w:r>
          </w:p>
        </w:tc>
        <w:tc>
          <w:tcPr>
            <w:tcW w:type="dxa" w:w="1400"/>
            <w:tcBorders>
              <w:top w:val="single" w:color="C8D4E4" w:sz="1"/>
              <w:left w:val="single" w:color="C8D4E4" w:sz="1"/>
              <w:bottom w:val="single" w:color="C8D4E4" w:sz="1"/>
              <w:right w:val="single" w:color="C8D4E4" w:sz="1"/>
            </w:tcBorders>
            <w:shd w:fill="FCE4D6" w:val="clear"/>
            <w:tcMar>
              <w:top w:type="dxa" w:w="60"/>
              <w:left w:type="dxa" w:w="100"/>
              <w:bottom w:type="dxa" w:w="60"/>
              <w:right w:type="dxa" w:w="100"/>
            </w:tcMar>
          </w:tcPr>
          <w:p>
            <w:pPr>
              <w:jc w:val="center"/>
            </w:pPr>
            <w:r>
              <w:rPr>
                <w:rFonts w:ascii="Arial" w:cs="Arial" w:eastAsia="Arial" w:hAnsi="Arial"/>
                <w:b/>
                <w:bCs/>
                <w:i w:val="false"/>
                <w:iCs w:val="false"/>
                <w:color w:val="C00000"/>
                <w:sz w:val="18"/>
                <w:szCs w:val="18"/>
              </w:rPr>
              <w:t xml:space="preserve">2.0</w:t>
            </w:r>
          </w:p>
        </w:tc>
        <w:tc>
          <w:tcPr>
            <w:tcW w:type="dxa" w:w="1400"/>
            <w:tcBorders>
              <w:top w:val="single" w:color="C8D4E4" w:sz="1"/>
              <w:left w:val="single" w:color="C8D4E4" w:sz="1"/>
              <w:bottom w:val="single" w:color="C8D4E4" w:sz="1"/>
              <w:right w:val="single" w:color="C8D4E4" w:sz="1"/>
            </w:tcBorders>
            <w:shd w:fill="E8F0E8" w:val="clear"/>
            <w:tcMar>
              <w:top w:type="dxa" w:w="60"/>
              <w:left w:type="dxa" w:w="100"/>
              <w:bottom w:type="dxa" w:w="60"/>
              <w:right w:type="dxa" w:w="100"/>
            </w:tcMar>
          </w:tcPr>
          <w:p>
            <w:pPr>
              <w:jc w:val="center"/>
            </w:pPr>
            <w:r>
              <w:rPr>
                <w:rFonts w:ascii="Arial" w:cs="Arial" w:eastAsia="Arial" w:hAnsi="Arial"/>
                <w:b/>
                <w:bCs/>
                <w:i w:val="false"/>
                <w:iCs w:val="false"/>
                <w:color w:val="2D6A2D"/>
                <w:sz w:val="18"/>
                <w:szCs w:val="18"/>
              </w:rPr>
              <w:t xml:space="preserve">3.0</w:t>
            </w:r>
          </w:p>
        </w:tc>
        <w:tc>
          <w:tcPr>
            <w:tcW w:type="dxa" w:w="1400"/>
            <w:tcBorders>
              <w:top w:val="single" w:color="C8D4E4" w:sz="1"/>
              <w:left w:val="single" w:color="C8D4E4" w:sz="1"/>
              <w:bottom w:val="single" w:color="C8D4E4" w:sz="1"/>
              <w:right w:val="single" w:color="C8D4E4" w:sz="1"/>
            </w:tcBorders>
            <w:shd w:fill="FFF2CC" w:val="clear"/>
            <w:tcMar>
              <w:top w:type="dxa" w:w="60"/>
              <w:left w:type="dxa" w:w="100"/>
              <w:bottom w:type="dxa" w:w="60"/>
              <w:right w:type="dxa" w:w="100"/>
            </w:tcMar>
          </w:tcPr>
          <w:p>
            <w:pPr>
              <w:jc w:val="center"/>
            </w:pPr>
            <w:r>
              <w:rPr>
                <w:rFonts w:ascii="Arial" w:cs="Arial" w:eastAsia="Arial" w:hAnsi="Arial"/>
                <w:b/>
                <w:bCs/>
                <w:i w:val="false"/>
                <w:iCs w:val="false"/>
                <w:color w:val="B8860B"/>
                <w:sz w:val="18"/>
                <w:szCs w:val="18"/>
              </w:rPr>
              <w:t xml:space="preserve">1.0</w:t>
            </w:r>
          </w:p>
        </w:tc>
        <w:tc>
          <w:tcPr>
            <w:tcW w:type="dxa" w:w="1046"/>
            <w:tcBorders>
              <w:top w:val="single" w:color="C8D4E4" w:sz="1"/>
              <w:left w:val="single" w:color="C8D4E4" w:sz="1"/>
              <w:bottom w:val="single" w:color="C8D4E4" w:sz="1"/>
              <w:right w:val="single" w:color="C8D4E4" w:sz="1"/>
            </w:tcBorders>
            <w:shd w:fill="FFF2CC" w:val="clear"/>
            <w:tcMar>
              <w:top w:type="dxa" w:w="60"/>
              <w:left w:type="dxa" w:w="100"/>
              <w:bottom w:type="dxa" w:w="60"/>
              <w:right w:type="dxa" w:w="100"/>
            </w:tcMar>
          </w:tcPr>
          <w:p>
            <w:pPr>
              <w:jc w:val="center"/>
            </w:pPr>
            <w:r>
              <w:rPr>
                <w:rFonts w:ascii="Arial" w:cs="Arial" w:eastAsia="Arial" w:hAnsi="Arial"/>
                <w:b w:val="false"/>
                <w:bCs w:val="false"/>
                <w:i w:val="false"/>
                <w:iCs w:val="false"/>
                <w:color w:val="B8860B"/>
                <w:sz w:val="16"/>
                <w:szCs w:val="16"/>
              </w:rPr>
              <w:t xml:space="preserve">Below Target</w:t>
            </w:r>
          </w:p>
        </w:tc>
      </w:tr>
      <w:tr>
        <w:tc>
          <w:tcPr>
            <w:tcW w:type="dxa" w:w="4500"/>
            <w:tcBorders>
              <w:top w:val="single" w:color="C8D4E4" w:sz="1"/>
              <w:left w:val="single" w:color="C8D4E4" w:sz="1"/>
              <w:bottom w:val="single" w:color="C8D4E4" w:sz="1"/>
              <w:right w:val="single" w:color="C8D4E4"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B2A4A"/>
                <w:sz w:val="18"/>
                <w:szCs w:val="18"/>
              </w:rPr>
              <w:t xml:space="preserve">4. Third-Party Management</w:t>
            </w:r>
          </w:p>
        </w:tc>
        <w:tc>
          <w:tcPr>
            <w:tcW w:type="dxa" w:w="1400"/>
            <w:tcBorders>
              <w:top w:val="single" w:color="C8D4E4" w:sz="1"/>
              <w:left w:val="single" w:color="C8D4E4" w:sz="1"/>
              <w:bottom w:val="single" w:color="C8D4E4" w:sz="1"/>
              <w:right w:val="single" w:color="C8D4E4" w:sz="1"/>
            </w:tcBorders>
            <w:shd w:fill="FCE4D6" w:val="clear"/>
            <w:tcMar>
              <w:top w:type="dxa" w:w="60"/>
              <w:left w:type="dxa" w:w="100"/>
              <w:bottom w:type="dxa" w:w="60"/>
              <w:right w:type="dxa" w:w="100"/>
            </w:tcMar>
          </w:tcPr>
          <w:p>
            <w:pPr>
              <w:jc w:val="center"/>
            </w:pPr>
            <w:r>
              <w:rPr>
                <w:rFonts w:ascii="Arial" w:cs="Arial" w:eastAsia="Arial" w:hAnsi="Arial"/>
                <w:b/>
                <w:bCs/>
                <w:i w:val="false"/>
                <w:iCs w:val="false"/>
                <w:color w:val="C00000"/>
                <w:sz w:val="18"/>
                <w:szCs w:val="18"/>
              </w:rPr>
              <w:t xml:space="preserve">1.5</w:t>
            </w:r>
          </w:p>
        </w:tc>
        <w:tc>
          <w:tcPr>
            <w:tcW w:type="dxa" w:w="1400"/>
            <w:tcBorders>
              <w:top w:val="single" w:color="C8D4E4" w:sz="1"/>
              <w:left w:val="single" w:color="C8D4E4" w:sz="1"/>
              <w:bottom w:val="single" w:color="C8D4E4" w:sz="1"/>
              <w:right w:val="single" w:color="C8D4E4" w:sz="1"/>
            </w:tcBorders>
            <w:shd w:fill="E8F0E8" w:val="clear"/>
            <w:tcMar>
              <w:top w:type="dxa" w:w="60"/>
              <w:left w:type="dxa" w:w="100"/>
              <w:bottom w:type="dxa" w:w="60"/>
              <w:right w:type="dxa" w:w="100"/>
            </w:tcMar>
          </w:tcPr>
          <w:p>
            <w:pPr>
              <w:jc w:val="center"/>
            </w:pPr>
            <w:r>
              <w:rPr>
                <w:rFonts w:ascii="Arial" w:cs="Arial" w:eastAsia="Arial" w:hAnsi="Arial"/>
                <w:b/>
                <w:bCs/>
                <w:i w:val="false"/>
                <w:iCs w:val="false"/>
                <w:color w:val="2D6A2D"/>
                <w:sz w:val="18"/>
                <w:szCs w:val="18"/>
              </w:rPr>
              <w:t xml:space="preserve">3.0</w:t>
            </w:r>
          </w:p>
        </w:tc>
        <w:tc>
          <w:tcPr>
            <w:tcW w:type="dxa" w:w="1400"/>
            <w:tcBorders>
              <w:top w:val="single" w:color="C8D4E4" w:sz="1"/>
              <w:left w:val="single" w:color="C8D4E4" w:sz="1"/>
              <w:bottom w:val="single" w:color="C8D4E4" w:sz="1"/>
              <w:right w:val="single" w:color="C8D4E4" w:sz="1"/>
            </w:tcBorders>
            <w:shd w:fill="FFF2CC" w:val="clear"/>
            <w:tcMar>
              <w:top w:type="dxa" w:w="60"/>
              <w:left w:type="dxa" w:w="100"/>
              <w:bottom w:type="dxa" w:w="60"/>
              <w:right w:type="dxa" w:w="100"/>
            </w:tcMar>
          </w:tcPr>
          <w:p>
            <w:pPr>
              <w:jc w:val="center"/>
            </w:pPr>
            <w:r>
              <w:rPr>
                <w:rFonts w:ascii="Arial" w:cs="Arial" w:eastAsia="Arial" w:hAnsi="Arial"/>
                <w:b/>
                <w:bCs/>
                <w:i w:val="false"/>
                <w:iCs w:val="false"/>
                <w:color w:val="B8860B"/>
                <w:sz w:val="18"/>
                <w:szCs w:val="18"/>
              </w:rPr>
              <w:t xml:space="preserve">1.5</w:t>
            </w:r>
          </w:p>
        </w:tc>
        <w:tc>
          <w:tcPr>
            <w:tcW w:type="dxa" w:w="1046"/>
            <w:tcBorders>
              <w:top w:val="single" w:color="C8D4E4" w:sz="1"/>
              <w:left w:val="single" w:color="C8D4E4" w:sz="1"/>
              <w:bottom w:val="single" w:color="C8D4E4" w:sz="1"/>
              <w:right w:val="single" w:color="C8D4E4" w:sz="1"/>
            </w:tcBorders>
            <w:shd w:fill="FFF2CC" w:val="clear"/>
            <w:tcMar>
              <w:top w:type="dxa" w:w="60"/>
              <w:left w:type="dxa" w:w="100"/>
              <w:bottom w:type="dxa" w:w="60"/>
              <w:right w:type="dxa" w:w="100"/>
            </w:tcMar>
          </w:tcPr>
          <w:p>
            <w:pPr>
              <w:jc w:val="center"/>
            </w:pPr>
            <w:r>
              <w:rPr>
                <w:rFonts w:ascii="Arial" w:cs="Arial" w:eastAsia="Arial" w:hAnsi="Arial"/>
                <w:b w:val="false"/>
                <w:bCs w:val="false"/>
                <w:i w:val="false"/>
                <w:iCs w:val="false"/>
                <w:color w:val="B8860B"/>
                <w:sz w:val="16"/>
                <w:szCs w:val="16"/>
              </w:rPr>
              <w:t xml:space="preserve">Below Target</w:t>
            </w:r>
          </w:p>
        </w:tc>
      </w:tr>
      <w:tr>
        <w:tc>
          <w:tcPr>
            <w:tcW w:type="dxa" w:w="4500"/>
            <w:tcBorders>
              <w:top w:val="single" w:color="C8D4E4" w:sz="1"/>
              <w:left w:val="single" w:color="C8D4E4" w:sz="1"/>
              <w:bottom w:val="single" w:color="C8D4E4" w:sz="1"/>
              <w:right w:val="single" w:color="C8D4E4" w:sz="1"/>
            </w:tcBorders>
            <w:shd w:fill="1B2A4A" w:val="clear"/>
            <w:tcMar>
              <w:top w:type="dxa" w:w="60"/>
              <w:left w:type="dxa" w:w="100"/>
              <w:bottom w:type="dxa" w:w="60"/>
              <w:right w:type="dxa" w:w="100"/>
            </w:tcMar>
          </w:tcPr>
          <w:p>
            <w:r>
              <w:rPr>
                <w:rFonts w:ascii="Arial" w:cs="Arial" w:eastAsia="Arial" w:hAnsi="Arial"/>
                <w:b/>
                <w:bCs/>
                <w:i w:val="false"/>
                <w:iCs w:val="false"/>
                <w:color w:val="C8A951"/>
                <w:sz w:val="18"/>
                <w:szCs w:val="18"/>
              </w:rPr>
              <w:t xml:space="preserve">OVERALL</w:t>
            </w:r>
          </w:p>
        </w:tc>
        <w:tc>
          <w:tcPr>
            <w:tcW w:type="dxa" w:w="1400"/>
            <w:tcBorders>
              <w:top w:val="single" w:color="C8D4E4" w:sz="1"/>
              <w:left w:val="single" w:color="C8D4E4" w:sz="1"/>
              <w:bottom w:val="single" w:color="C8D4E4" w:sz="1"/>
              <w:right w:val="single" w:color="C8D4E4" w:sz="1"/>
            </w:tcBorders>
            <w:shd w:fill="1B2A4A" w:val="clear"/>
            <w:tcMar>
              <w:top w:type="dxa" w:w="60"/>
              <w:left w:type="dxa" w:w="100"/>
              <w:bottom w:type="dxa" w:w="60"/>
              <w:right w:type="dxa" w:w="100"/>
            </w:tcMar>
          </w:tcPr>
          <w:p>
            <w:pPr>
              <w:jc w:val="center"/>
            </w:pPr>
            <w:r>
              <w:rPr>
                <w:rFonts w:ascii="Arial" w:cs="Arial" w:eastAsia="Arial" w:hAnsi="Arial"/>
                <w:b/>
                <w:bCs/>
                <w:i w:val="false"/>
                <w:iCs w:val="false"/>
                <w:color w:val="FFFFFF"/>
                <w:sz w:val="18"/>
                <w:szCs w:val="18"/>
              </w:rPr>
              <w:t xml:space="preserve">1.6</w:t>
            </w:r>
          </w:p>
        </w:tc>
        <w:tc>
          <w:tcPr>
            <w:tcW w:type="dxa" w:w="1400"/>
            <w:tcBorders>
              <w:top w:val="single" w:color="C8D4E4" w:sz="1"/>
              <w:left w:val="single" w:color="C8D4E4" w:sz="1"/>
              <w:bottom w:val="single" w:color="C8D4E4" w:sz="1"/>
              <w:right w:val="single" w:color="C8D4E4" w:sz="1"/>
            </w:tcBorders>
            <w:shd w:fill="1B2A4A" w:val="clear"/>
            <w:tcMar>
              <w:top w:type="dxa" w:w="60"/>
              <w:left w:type="dxa" w:w="100"/>
              <w:bottom w:type="dxa" w:w="60"/>
              <w:right w:type="dxa" w:w="100"/>
            </w:tcMar>
          </w:tcPr>
          <w:p>
            <w:pPr>
              <w:jc w:val="center"/>
            </w:pPr>
            <w:r>
              <w:rPr>
                <w:rFonts w:ascii="Arial" w:cs="Arial" w:eastAsia="Arial" w:hAnsi="Arial"/>
                <w:b/>
                <w:bCs/>
                <w:i w:val="false"/>
                <w:iCs w:val="false"/>
                <w:color w:val="FFFFFF"/>
                <w:sz w:val="18"/>
                <w:szCs w:val="18"/>
              </w:rPr>
              <w:t xml:space="preserve">3.0</w:t>
            </w:r>
          </w:p>
        </w:tc>
        <w:tc>
          <w:tcPr>
            <w:tcW w:type="dxa" w:w="1400"/>
            <w:tcBorders>
              <w:top w:val="single" w:color="C8D4E4" w:sz="1"/>
              <w:left w:val="single" w:color="C8D4E4" w:sz="1"/>
              <w:bottom w:val="single" w:color="C8D4E4" w:sz="1"/>
              <w:right w:val="single" w:color="C8D4E4" w:sz="1"/>
            </w:tcBorders>
            <w:shd w:fill="1B2A4A" w:val="clear"/>
            <w:tcMar>
              <w:top w:type="dxa" w:w="60"/>
              <w:left w:type="dxa" w:w="100"/>
              <w:bottom w:type="dxa" w:w="60"/>
              <w:right w:type="dxa" w:w="100"/>
            </w:tcMar>
          </w:tcPr>
          <w:p>
            <w:pPr>
              <w:jc w:val="center"/>
            </w:pPr>
            <w:r>
              <w:rPr>
                <w:rFonts w:ascii="Arial" w:cs="Arial" w:eastAsia="Arial" w:hAnsi="Arial"/>
                <w:b/>
                <w:bCs/>
                <w:i w:val="false"/>
                <w:iCs w:val="false"/>
                <w:color w:val="FFFFFF"/>
                <w:sz w:val="18"/>
                <w:szCs w:val="18"/>
              </w:rPr>
              <w:t xml:space="preserve">1.4</w:t>
            </w:r>
          </w:p>
        </w:tc>
        <w:tc>
          <w:tcPr>
            <w:tcW w:type="dxa" w:w="1046"/>
            <w:tcBorders>
              <w:top w:val="single" w:color="C8D4E4" w:sz="1"/>
              <w:left w:val="single" w:color="C8D4E4" w:sz="1"/>
              <w:bottom w:val="single" w:color="C8D4E4" w:sz="1"/>
              <w:right w:val="single" w:color="C8D4E4" w:sz="1"/>
            </w:tcBorders>
            <w:shd w:fill="1B2A4A" w:val="clear"/>
            <w:tcMar>
              <w:top w:type="dxa" w:w="60"/>
              <w:left w:type="dxa" w:w="100"/>
              <w:bottom w:type="dxa" w:w="60"/>
              <w:right w:type="dxa" w:w="100"/>
            </w:tcMar>
          </w:tcPr>
          <w:p>
            <w:pPr>
              <w:jc w:val="center"/>
            </w:pPr>
            <w:r>
              <w:rPr>
                <w:rFonts w:ascii="Arial" w:cs="Arial" w:eastAsia="Arial" w:hAnsi="Arial"/>
                <w:b w:val="false"/>
                <w:bCs w:val="false"/>
                <w:i w:val="false"/>
                <w:iCs w:val="false"/>
                <w:color w:val="FFFFFF"/>
                <w:sz w:val="16"/>
                <w:szCs w:val="16"/>
              </w:rPr>
              <w:t xml:space="preserve">Below Target</w:t>
            </w:r>
          </w:p>
        </w:tc>
      </w:tr>
    </w:tbl>
    <w:p>
      <w:pPr>
        <w:spacing w:after="0" w:before="160"/>
      </w:pPr>
      <w:r>
        <w:t xml:space="preserve"/>
      </w:r>
    </w:p>
    <w:p>
      <w:pPr>
        <w:pStyle w:val="Heading2"/>
        <w:spacing w:after="120" w:before="240"/>
      </w:pPr>
      <w:r>
        <w:rPr>
          <w:rFonts w:ascii="Arial" w:cs="Arial" w:eastAsia="Arial" w:hAnsi="Arial"/>
          <w:b/>
          <w:bCs/>
          <w:i w:val="false"/>
          <w:iCs w:val="false"/>
          <w:color w:val="1B2A4A"/>
          <w:sz w:val="22"/>
          <w:szCs w:val="22"/>
        </w:rPr>
        <w:t xml:space="preserve">4.1  Pillar 1 — Leadership and Governance  (Current: 1.5 / Target: 3.0)</w:t>
      </w:r>
    </w:p>
    <w:p>
      <w:pPr>
        <w:spacing w:after="120" w:before="80"/>
        <w:jc w:val="both"/>
      </w:pPr>
      <w:r>
        <w:rPr>
          <w:rFonts w:ascii="Arial" w:cs="Arial" w:eastAsia="Arial" w:hAnsi="Arial"/>
          <w:b w:val="false"/>
          <w:bCs w:val="false"/>
          <w:i w:val="false"/>
          <w:iCs w:val="false"/>
          <w:color w:val="1A1A1A"/>
          <w:sz w:val="20"/>
          <w:szCs w:val="20"/>
        </w:rPr>
        <w:t xml:space="preserve">Leadership and Governance is assessed at maturity Level 1.5. The organisation scores above Level 1 in areas where basic regulatory awareness exists — the compliance function tracks SAMA reporting obligations and there is budget allocated to IT operations. However, cybersecurity is not established as a formal leadership responsibility. There is no CISO, no cybersecurity strategy, no policy framework, and no Board-level cybersecurity reporting. Performance metrics and KPIs for cybersecurity do not exist. Achieving Level 3.0 requires CISO appointment, strategy approval, a full policy framework, and structured Board reporting — all currently absent.</w:t>
      </w:r>
    </w:p>
    <w:p>
      <w:pPr>
        <w:pStyle w:val="Heading2"/>
        <w:spacing w:after="120" w:before="240"/>
      </w:pPr>
      <w:r>
        <w:rPr>
          <w:rFonts w:ascii="Arial" w:cs="Arial" w:eastAsia="Arial" w:hAnsi="Arial"/>
          <w:b/>
          <w:bCs/>
          <w:i w:val="false"/>
          <w:iCs w:val="false"/>
          <w:color w:val="1B2A4A"/>
          <w:sz w:val="22"/>
          <w:szCs w:val="22"/>
        </w:rPr>
        <w:t xml:space="preserve">4.2  Pillar 2 — Risk and Compliance  (Current: 1.5 / Target: 3.0)</w:t>
      </w:r>
    </w:p>
    <w:p>
      <w:pPr>
        <w:spacing w:after="120" w:before="80"/>
        <w:jc w:val="both"/>
      </w:pPr>
      <w:r>
        <w:rPr>
          <w:rFonts w:ascii="Arial" w:cs="Arial" w:eastAsia="Arial" w:hAnsi="Arial"/>
          <w:b w:val="false"/>
          <w:bCs w:val="false"/>
          <w:i w:val="false"/>
          <w:iCs w:val="false"/>
          <w:color w:val="1A1A1A"/>
          <w:sz w:val="20"/>
          <w:szCs w:val="20"/>
        </w:rPr>
        <w:t xml:space="preserve">Risk and Compliance is assessed at maturity Level 1.5. The organisation has awareness of SAMA regulatory obligations through the compliance function but has not established a cyber risk management programme. No risk assessment has been conducted, no risk register exists, and no risk treatment plans have been defined. Vulnerability management is ad hoc and undocumented. Threat intelligence is not collected or used in risk decision-making. The 0.5 above Level 1 reflects the existence of a compliance function with regulatory awareness, but the absence of cyber risk processes prevents progression toward Level 2.</w:t>
      </w:r>
    </w:p>
    <w:p>
      <w:pPr>
        <w:pStyle w:val="Heading2"/>
        <w:spacing w:after="120" w:before="240"/>
      </w:pPr>
      <w:r>
        <w:rPr>
          <w:rFonts w:ascii="Arial" w:cs="Arial" w:eastAsia="Arial" w:hAnsi="Arial"/>
          <w:b/>
          <w:bCs/>
          <w:i w:val="false"/>
          <w:iCs w:val="false"/>
          <w:color w:val="1B2A4A"/>
          <w:sz w:val="22"/>
          <w:szCs w:val="22"/>
        </w:rPr>
        <w:t xml:space="preserve">4.3  Pillar 3 — Operations and Technology  (Current: 2.0 / Target: 3.0)</w:t>
      </w:r>
    </w:p>
    <w:p>
      <w:pPr>
        <w:spacing w:after="120" w:before="80"/>
        <w:jc w:val="both"/>
      </w:pPr>
      <w:r>
        <w:rPr>
          <w:rFonts w:ascii="Arial" w:cs="Arial" w:eastAsia="Arial" w:hAnsi="Arial"/>
          <w:b w:val="false"/>
          <w:bCs w:val="false"/>
          <w:i w:val="false"/>
          <w:iCs w:val="false"/>
          <w:color w:val="1A1A1A"/>
          <w:sz w:val="20"/>
          <w:szCs w:val="20"/>
        </w:rPr>
        <w:t xml:space="preserve">Operations and Technology is the strongest pillar at maturity Level 2.0. Basic technical controls are in place: a network perimeter firewall is deployed and maintained, endpoint protection is installed and updated across the workstation estate, Microsoft 365 email security controls including anti-spam and anti-phishing are configured, and Azure Active Directory provides identity management for Microsoft 365 users. These controls demonstrate a Developing level of operational security capability. However, critical gaps prevent progression to Level 3: privileged access management is absent (shared admin credentials on Oracle Insurance — F-007), audit log retention is non-compliant at 30 days (F-010), no incident response capability exists (F-009), and vulnerability management is entirely ad hoc (F-008).</w:t>
      </w:r>
    </w:p>
    <w:p>
      <w:pPr>
        <w:pStyle w:val="Heading2"/>
        <w:spacing w:after="120" w:before="240"/>
      </w:pPr>
      <w:r>
        <w:rPr>
          <w:rFonts w:ascii="Arial" w:cs="Arial" w:eastAsia="Arial" w:hAnsi="Arial"/>
          <w:b/>
          <w:bCs/>
          <w:i w:val="false"/>
          <w:iCs w:val="false"/>
          <w:color w:val="1B2A4A"/>
          <w:sz w:val="22"/>
          <w:szCs w:val="22"/>
        </w:rPr>
        <w:t xml:space="preserve">4.4  Pillar 4 — Third-Party Management  (Current: 1.5 / Target: 3.0)</w:t>
      </w:r>
    </w:p>
    <w:p>
      <w:pPr>
        <w:spacing w:after="120" w:before="80"/>
        <w:jc w:val="both"/>
      </w:pPr>
      <w:r>
        <w:rPr>
          <w:rFonts w:ascii="Arial" w:cs="Arial" w:eastAsia="Arial" w:hAnsi="Arial"/>
          <w:b w:val="false"/>
          <w:bCs w:val="false"/>
          <w:i w:val="false"/>
          <w:iCs w:val="false"/>
          <w:color w:val="1A1A1A"/>
          <w:sz w:val="20"/>
          <w:szCs w:val="20"/>
        </w:rPr>
        <w:t xml:space="preserve">Third-Party Management is assessed at maturity Level 1.5. No third-party cybersecurity management policy exists, vendor contracts contain no cybersecurity obligations, and no security assessments have been conducted on any vendor. Najm, Munich Re, and Swiss Re all have production system access without any contractual security requirements. The 0.5 above Level 1 reflects the existence of commercial contracts and vendor relationships, but the complete absence of cybersecurity requirements within those relationships means the pillar cannot progress beyond the initial stage without foundational policy and contractual remediation.</w:t>
      </w:r>
    </w:p>
    <w:p>
      <w:pPr>
        <w:spacing w:after="0" w:before="120"/>
      </w:pPr>
      <w:r>
        <w:t xml:space="preserve"/>
      </w:r>
    </w:p>
    <w:p>
      <w:r>
        <w:br w:type="page"/>
      </w:r>
    </w:p>
    <w:p>
      <w:pPr>
        <w:pStyle w:val="Heading1"/>
        <w:pBdr>
          <w:bottom w:val="single" w:color="C8A951" w:sz="4" w:space="4"/>
        </w:pBdr>
        <w:spacing w:after="160" w:before="320"/>
      </w:pPr>
      <w:r>
        <w:rPr>
          <w:rFonts w:ascii="Arial" w:cs="Arial" w:eastAsia="Arial" w:hAnsi="Arial"/>
          <w:b/>
          <w:bCs/>
          <w:i w:val="false"/>
          <w:iCs w:val="false"/>
          <w:color w:val="1B2A4A"/>
          <w:sz w:val="26"/>
          <w:szCs w:val="26"/>
        </w:rPr>
        <w:t xml:space="preserve">5.  Conclusion and Remediation Priorities</w:t>
      </w:r>
    </w:p>
    <w:p>
      <w:pPr>
        <w:spacing w:after="120" w:before="80"/>
        <w:jc w:val="both"/>
      </w:pPr>
      <w:r>
        <w:rPr>
          <w:rFonts w:ascii="Arial" w:cs="Arial" w:eastAsia="Arial" w:hAnsi="Arial"/>
          <w:b w:val="false"/>
          <w:bCs w:val="false"/>
          <w:i w:val="false"/>
          <w:iCs w:val="false"/>
          <w:color w:val="1A1A1A"/>
          <w:sz w:val="20"/>
          <w:szCs w:val="20"/>
        </w:rPr>
        <w:t xml:space="preserve">Al Ameen Insurance Company presents a cybersecurity posture that is significantly below the requirements of both NCA ECC-1:2018 and the SAMA Cybersecurity Framework. An overall ECC conformance rate of 29.0% and a SAMA CSF maturity of 1.6 reflect an organisation where foundational governance, risk management, and resilience controls have not been established. The assessment identifies one live risk requiring immediate action — shared administrator credentials on Oracle Insurance Policy Administration — which must be remediated independently of any phased programme.</w:t>
      </w:r>
    </w:p>
    <w:p>
      <w:pPr>
        <w:spacing w:after="120" w:before="80"/>
        <w:jc w:val="both"/>
      </w:pPr>
      <w:r>
        <w:rPr>
          <w:rFonts w:ascii="Arial" w:cs="Arial" w:eastAsia="Arial" w:hAnsi="Arial"/>
          <w:b w:val="false"/>
          <w:bCs w:val="false"/>
          <w:i w:val="false"/>
          <w:iCs w:val="false"/>
          <w:color w:val="1A1A1A"/>
          <w:sz w:val="20"/>
          <w:szCs w:val="20"/>
        </w:rPr>
        <w:t xml:space="preserve">The corrective action plan (RCA-P3-005) sets out 30 prioritised actions across four phases spanning November 2024 to October 2025. Phase 1 (November–December 2024) addresses critical governance and live risk remediation: CISO appointment, shared credential removal, cybersecurity strategy initiation, and third-party access review. Phase 2 (January–March 2025) establishes risk management, incident response, log retention, and security awareness. Phase 3 (April–June 2025) addresses third-party security requirements, vulnerability management, and BCP/DR framework development. Phase 4 (July–October 2025) delivers BCP/DR testing, SAMA CSF maturity validation, and sustained audit readiness.</w:t>
      </w:r>
    </w:p>
    <w:p>
      <w:pPr>
        <w:spacing w:after="120" w:before="80"/>
        <w:jc w:val="both"/>
      </w:pPr>
      <w:r>
        <w:rPr>
          <w:rFonts w:ascii="Arial" w:cs="Arial" w:eastAsia="Arial" w:hAnsi="Arial"/>
          <w:b w:val="false"/>
          <w:bCs w:val="false"/>
          <w:i w:val="false"/>
          <w:iCs w:val="false"/>
          <w:color w:val="1A1A1A"/>
          <w:sz w:val="20"/>
          <w:szCs w:val="20"/>
        </w:rPr>
        <w:t xml:space="preserve">Sustained progress will require the appointment of a CISO or equivalent accountable person as the first and most critical action. Without governance ownership, the downstream remediation programme lacks a driver and cannot be effectively managed. Al Ameen Insurance Company is encouraged to treat the Phase 1 actions as immediate priorities, with CISO appointment and shared credential remediation completed within 60 days of this report.</w:t>
      </w:r>
    </w:p>
    <w:p>
      <w:pPr>
        <w:spacing w:after="0" w:before="200"/>
      </w:pPr>
      <w:r>
        <w:t xml:space="preserve"/>
      </w:r>
    </w:p>
    <w:tbl>
      <w:tblPr>
        <w:tblW w:type="dxa" w:w="9746"/>
        <w:tblBorders>
          <w:top w:val="none"/>
          <w:left w:val="none"/>
          <w:bottom w:val="none"/>
          <w:right w:val="none"/>
          <w:insideH w:val="single" w:color="auto" w:sz="4"/>
          <w:insideV w:val="single" w:color="auto" w:sz="4"/>
        </w:tblBorders>
      </w:tblPr>
      <w:tblGrid>
        <w:gridCol w:w="4600"/>
        <w:gridCol w:w="400"/>
        <w:gridCol w:w="4746"/>
      </w:tblGrid>
      <w:tr>
        <w:tc>
          <w:tcPr>
            <w:tcW w:type="dxa" w:w="4600"/>
            <w:tcBorders>
              <w:top w:val="none" w:color="FFFFFF" w:sz="0"/>
              <w:left w:val="none" w:color="FFFFFF" w:sz="0"/>
              <w:bottom w:val="none" w:color="FFFFFF" w:sz="0"/>
              <w:right w:val="none" w:color="FFFFFF" w:sz="0"/>
            </w:tcBorders>
            <w:shd w:fill="EEF1F7" w:val="clear"/>
            <w:tcMar>
              <w:top w:type="dxa" w:w="160"/>
              <w:left w:type="dxa" w:w="200"/>
              <w:bottom w:type="dxa" w:w="160"/>
              <w:right w:type="dxa" w:w="200"/>
            </w:tcMar>
          </w:tcPr>
          <w:p>
            <w:r>
              <w:rPr>
                <w:rFonts w:ascii="Arial" w:cs="Arial" w:eastAsia="Arial" w:hAnsi="Arial"/>
                <w:b/>
                <w:bCs/>
                <w:i w:val="false"/>
                <w:iCs w:val="false"/>
                <w:color w:val="1B2A4A"/>
                <w:sz w:val="18"/>
                <w:szCs w:val="18"/>
              </w:rPr>
              <w:t xml:space="preserve">For Resolute Compliance Advisory LLP</w:t>
            </w:r>
          </w:p>
          <w:p>
            <w:pPr>
              <w:spacing w:after="0" w:before="200"/>
            </w:pPr>
            <w:r>
              <w:t xml:space="preserve"/>
            </w:r>
          </w:p>
          <w:p>
            <w:pPr>
              <w:pBdr>
                <w:bottom w:val="single" w:color="1B2A4A" w:sz="4"/>
              </w:pBdr>
            </w:pPr>
            <w:r>
              <w:rPr>
                <w:rFonts w:ascii="Arial" w:cs="Arial" w:eastAsia="Arial" w:hAnsi="Arial"/>
                <w:b w:val="false"/>
                <w:bCs w:val="false"/>
                <w:i w:val="false"/>
                <w:iCs w:val="false"/>
                <w:color w:val="1A1A1A"/>
                <w:sz w:val="18"/>
                <w:szCs w:val="18"/>
              </w:rPr>
              <w:t xml:space="preserve"> </w:t>
            </w:r>
          </w:p>
          <w:p>
            <w:pPr>
              <w:spacing w:after="0" w:before="60"/>
            </w:pPr>
            <w:r>
              <w:t xml:space="preserve"/>
            </w:r>
          </w:p>
          <w:p>
            <w:r>
              <w:rPr>
                <w:rFonts w:ascii="Arial" w:cs="Arial" w:eastAsia="Arial" w:hAnsi="Arial"/>
                <w:b/>
                <w:bCs/>
                <w:i w:val="false"/>
                <w:iCs w:val="false"/>
                <w:color w:val="1A1A1A"/>
                <w:sz w:val="20"/>
                <w:szCs w:val="20"/>
              </w:rPr>
              <w:t xml:space="preserve">kay Shahbaaz</w:t>
            </w:r>
          </w:p>
          <w:p>
            <w:r>
              <w:rPr>
                <w:rFonts w:ascii="Arial" w:cs="Arial" w:eastAsia="Arial" w:hAnsi="Arial"/>
                <w:b w:val="false"/>
                <w:bCs w:val="false"/>
                <w:i w:val="false"/>
                <w:iCs w:val="false"/>
                <w:color w:val="666666"/>
                <w:sz w:val="18"/>
                <w:szCs w:val="18"/>
              </w:rPr>
              <w:t xml:space="preserve">GRC Auditor</w:t>
            </w:r>
          </w:p>
          <w:p>
            <w:r>
              <w:rPr>
                <w:rFonts w:ascii="Arial" w:cs="Arial" w:eastAsia="Arial" w:hAnsi="Arial"/>
                <w:b w:val="false"/>
                <w:bCs w:val="false"/>
                <w:i w:val="false"/>
                <w:iCs w:val="false"/>
                <w:color w:val="666666"/>
                <w:sz w:val="18"/>
                <w:szCs w:val="18"/>
              </w:rPr>
              <w:t xml:space="preserve">Resolute Compliance Advisory LLP</w:t>
            </w:r>
          </w:p>
          <w:p>
            <w:r>
              <w:rPr>
                <w:rFonts w:ascii="Arial" w:cs="Arial" w:eastAsia="Arial" w:hAnsi="Arial"/>
                <w:b w:val="false"/>
                <w:bCs w:val="false"/>
                <w:i w:val="false"/>
                <w:iCs w:val="false"/>
                <w:color w:val="666666"/>
                <w:sz w:val="18"/>
                <w:szCs w:val="18"/>
              </w:rPr>
              <w:t xml:space="preserve">Date: 31 October 2024</w:t>
            </w:r>
          </w:p>
        </w:tc>
        <w:tc>
          <w:tcPr>
            <w:tcW w:type="dxa" w:w="400"/>
            <w:tcBorders>
              <w:top w:val="none" w:color="FFFFFF" w:sz="0"/>
              <w:left w:val="none" w:color="FFFFFF" w:sz="0"/>
              <w:bottom w:val="none" w:color="FFFFFF" w:sz="0"/>
              <w:right w:val="none" w:color="FFFFFF" w:sz="0"/>
            </w:tcBorders>
          </w:tcPr>
          <w:p/>
        </w:tc>
        <w:tc>
          <w:tcPr>
            <w:tcW w:type="dxa" w:w="4746"/>
            <w:tcBorders>
              <w:top w:val="none" w:color="FFFFFF" w:sz="0"/>
              <w:left w:val="none" w:color="FFFFFF" w:sz="0"/>
              <w:bottom w:val="none" w:color="FFFFFF" w:sz="0"/>
              <w:right w:val="none" w:color="FFFFFF" w:sz="0"/>
            </w:tcBorders>
            <w:shd w:fill="EEF1F7" w:val="clear"/>
            <w:tcMar>
              <w:top w:type="dxa" w:w="160"/>
              <w:left w:type="dxa" w:w="200"/>
              <w:bottom w:type="dxa" w:w="160"/>
              <w:right w:type="dxa" w:w="200"/>
            </w:tcMar>
          </w:tcPr>
          <w:p>
            <w:r>
              <w:rPr>
                <w:rFonts w:ascii="Arial" w:cs="Arial" w:eastAsia="Arial" w:hAnsi="Arial"/>
                <w:b/>
                <w:bCs/>
                <w:i w:val="false"/>
                <w:iCs w:val="false"/>
                <w:color w:val="1B2A4A"/>
                <w:sz w:val="18"/>
                <w:szCs w:val="18"/>
              </w:rPr>
              <w:t xml:space="preserve">For Al Ameen Insurance Company</w:t>
            </w:r>
          </w:p>
          <w:p>
            <w:pPr>
              <w:spacing w:after="0" w:before="200"/>
            </w:pPr>
            <w:r>
              <w:t xml:space="preserve"/>
            </w:r>
          </w:p>
          <w:p>
            <w:pPr>
              <w:pBdr>
                <w:bottom w:val="single" w:color="1B2A4A" w:sz="4"/>
              </w:pBdr>
            </w:pPr>
            <w:r>
              <w:rPr>
                <w:rFonts w:ascii="Arial" w:cs="Arial" w:eastAsia="Arial" w:hAnsi="Arial"/>
                <w:b w:val="false"/>
                <w:bCs w:val="false"/>
                <w:i w:val="false"/>
                <w:iCs w:val="false"/>
                <w:color w:val="1A1A1A"/>
                <w:sz w:val="18"/>
                <w:szCs w:val="18"/>
              </w:rPr>
              <w:t xml:space="preserve"> </w:t>
            </w:r>
          </w:p>
          <w:p>
            <w:pPr>
              <w:spacing w:after="0" w:before="60"/>
            </w:pPr>
            <w:r>
              <w:t xml:space="preserve"/>
            </w:r>
          </w:p>
          <w:p>
            <w:r>
              <w:rPr>
                <w:rFonts w:ascii="Arial" w:cs="Arial" w:eastAsia="Arial" w:hAnsi="Arial"/>
                <w:b/>
                <w:bCs/>
                <w:i w:val="false"/>
                <w:iCs w:val="false"/>
                <w:color w:val="1A1A1A"/>
                <w:sz w:val="20"/>
                <w:szCs w:val="20"/>
              </w:rPr>
              <w:t xml:space="preserve">Authorised Signatory</w:t>
            </w:r>
          </w:p>
          <w:p>
            <w:r>
              <w:rPr>
                <w:rFonts w:ascii="Arial" w:cs="Arial" w:eastAsia="Arial" w:hAnsi="Arial"/>
                <w:b w:val="false"/>
                <w:bCs w:val="false"/>
                <w:i w:val="false"/>
                <w:iCs w:val="false"/>
                <w:color w:val="666666"/>
                <w:sz w:val="18"/>
                <w:szCs w:val="18"/>
              </w:rPr>
              <w:t xml:space="preserve">Name &amp; Title:</w:t>
            </w:r>
          </w:p>
          <w:p>
            <w:r>
              <w:rPr>
                <w:rFonts w:ascii="Arial" w:cs="Arial" w:eastAsia="Arial" w:hAnsi="Arial"/>
                <w:b w:val="false"/>
                <w:bCs w:val="false"/>
                <w:i w:val="false"/>
                <w:iCs w:val="false"/>
                <w:color w:val="666666"/>
                <w:sz w:val="18"/>
                <w:szCs w:val="18"/>
              </w:rPr>
              <w:t xml:space="preserve">Al Ameen Insurance Company</w:t>
            </w:r>
          </w:p>
          <w:p>
            <w:r>
              <w:rPr>
                <w:rFonts w:ascii="Arial" w:cs="Arial" w:eastAsia="Arial" w:hAnsi="Arial"/>
                <w:b w:val="false"/>
                <w:bCs w:val="false"/>
                <w:i w:val="false"/>
                <w:iCs w:val="false"/>
                <w:color w:val="666666"/>
                <w:sz w:val="18"/>
                <w:szCs w:val="18"/>
              </w:rPr>
              <w:t xml:space="preserve">Date: _______________</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1B2A4A" w:sz="4" w:space="1"/>
      </w:pBdr>
      <w:spacing w:after="0" w:before="0"/>
    </w:pPr>
    <w:r>
      <w:t xml:space="preserve"/>
    </w:r>
  </w:p>
  <w:p>
    <w:pPr>
      <w:spacing w:after="0" w:before="40"/>
    </w:pPr>
    <w:r>
      <w:t xml:space="preserve"/>
    </w:r>
  </w:p>
  <w:p>
    <w:pPr>
      <w:tabs>
        <w:tab w:val="center" w:pos="4873"/>
        <w:tab w:val="right" w:pos="9746"/>
      </w:tabs>
    </w:pPr>
    <w:r>
      <w:rPr>
        <w:rFonts w:ascii="Arial" w:cs="Arial" w:eastAsia="Arial" w:hAnsi="Arial"/>
        <w:b w:val="false"/>
        <w:bCs w:val="false"/>
        <w:i w:val="false"/>
        <w:iCs w:val="false"/>
        <w:color w:val="666666"/>
        <w:sz w:val="16"/>
        <w:szCs w:val="16"/>
      </w:rPr>
      <w:t xml:space="preserve">Resolute Compliance Advisory LLP  ·  RCA-P3-003  ·  v1.0</w:t>
    </w:r>
    <w:r>
      <w:rPr>
        <w:rFonts w:ascii="Arial" w:cs="Arial" w:eastAsia="Arial" w:hAnsi="Arial"/>
        <w:sz w:val="16"/>
        <w:szCs w:val="16"/>
      </w:rPr>
      <w:t xml:space="preserve">	</w:t>
    </w:r>
    <w:r>
      <w:rPr>
        <w:rFonts w:ascii="Arial" w:cs="Arial" w:eastAsia="Arial" w:hAnsi="Arial"/>
        <w:b/>
        <w:bCs/>
        <w:i w:val="false"/>
        <w:iCs w:val="false"/>
        <w:color w:val="C8A951"/>
        <w:sz w:val="16"/>
        <w:szCs w:val="16"/>
      </w:rPr>
      <w:t xml:space="preserve">CONFIDENTIAL</w:t>
    </w:r>
    <w:r>
      <w:rPr>
        <w:rFonts w:ascii="Arial" w:cs="Arial" w:eastAsia="Arial" w:hAnsi="Arial"/>
        <w:sz w:val="16"/>
        <w:szCs w:val="16"/>
      </w:rPr>
      <w:t xml:space="preserve">	</w:t>
    </w:r>
    <w:r>
      <w:rPr>
        <w:rFonts w:ascii="Arial" w:cs="Arial" w:eastAsia="Arial" w:hAnsi="Arial"/>
        <w:b w:val="false"/>
        <w:bCs w:val="false"/>
        <w:i w:val="false"/>
        <w:iCs w:val="false"/>
        <w:color w:val="666666"/>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951" w:sz="6" w:space="4"/>
      </w:pBdr>
      <w:tabs>
        <w:tab w:val="right" w:pos="9746"/>
      </w:tabs>
      <w:spacing w:after="60" w:before="0"/>
    </w:pPr>
    <w:r>
      <w:rPr>
        <w:rFonts w:ascii="Arial" w:cs="Arial" w:eastAsia="Arial" w:hAnsi="Arial"/>
        <w:b/>
        <w:bCs/>
        <w:i w:val="false"/>
        <w:iCs w:val="false"/>
        <w:color w:val="1B2A4A"/>
        <w:sz w:val="20"/>
        <w:szCs w:val="20"/>
      </w:rPr>
      <w:t xml:space="preserve">RESOLUTE</w:t>
    </w:r>
    <w:r>
      <w:rPr>
        <w:rFonts w:ascii="Arial" w:cs="Arial" w:eastAsia="Arial" w:hAnsi="Arial"/>
        <w:b w:val="false"/>
        <w:bCs w:val="false"/>
        <w:i w:val="false"/>
        <w:iCs w:val="false"/>
        <w:color w:val="C8A951"/>
        <w:sz w:val="18"/>
        <w:szCs w:val="18"/>
      </w:rPr>
      <w:t xml:space="preserve">  COMPLIANCE ADVISORY  LLP</w:t>
    </w:r>
    <w:r>
      <w:rPr>
        <w:rFonts w:ascii="Arial" w:cs="Arial" w:eastAsia="Arial" w:hAnsi="Arial"/>
        <w:sz w:val="18"/>
        <w:szCs w:val="18"/>
      </w:rPr>
      <w:t xml:space="preserve">	</w:t>
    </w:r>
    <w:r>
      <w:rPr>
        <w:rFonts w:ascii="Arial" w:cs="Arial" w:eastAsia="Arial" w:hAnsi="Arial"/>
        <w:b/>
        <w:bCs/>
        <w:i w:val="false"/>
        <w:iCs w:val="false"/>
        <w:color w:val="C8A951"/>
        <w:sz w:val="16"/>
        <w:szCs w:val="16"/>
      </w:rPr>
      <w:t xml:space="preserve">CONFIDENTIAL</w:t>
    </w:r>
  </w:p>
  <w:p>
    <w:pPr>
      <w:spacing w:after="0" w:before="4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8A951" w:sz="4" w:space="4"/>
      </w:pBdr>
      <w:spacing w:after="160" w:before="320"/>
      <w:outlineLvl w:val="0"/>
    </w:pPr>
    <w:rPr>
      <w:rFonts w:ascii="Arial" w:cs="Arial" w:eastAsia="Arial" w:hAnsi="Arial"/>
      <w:b/>
      <w:bCs/>
      <w:color w:val="1B2A4A"/>
      <w:sz w:val="26"/>
      <w:szCs w:val="26"/>
    </w:rPr>
  </w:style>
  <w:style w:type="paragraph" w:styleId="Heading2">
    <w:name w:val="Heading 2"/>
    <w:basedOn w:val="Normal"/>
    <w:next w:val="Normal"/>
    <w:qFormat/>
    <w:pPr>
      <w:spacing w:after="120" w:before="240"/>
      <w:outlineLvl w:val="1"/>
    </w:pPr>
    <w:rPr>
      <w:rFonts w:ascii="Arial" w:cs="Arial" w:eastAsia="Arial" w:hAnsi="Arial"/>
      <w:b/>
      <w:bCs/>
      <w:color w:val="1B2A4A"/>
      <w:sz w:val="22"/>
      <w:szCs w:val="22"/>
    </w:rPr>
  </w:style>
  <w:style w:type="paragraph" w:styleId="Heading3">
    <w:name w:val="Heading 3"/>
    <w:basedOn w:val="Normal"/>
    <w:next w:val="Normal"/>
    <w:qFormat/>
    <w:pPr>
      <w:spacing w:after="100" w:before="200"/>
      <w:outlineLvl w:val="2"/>
    </w:pPr>
    <w:rPr>
      <w:rFonts w:ascii="Arial" w:cs="Arial" w:eastAsia="Arial" w:hAnsi="Arial"/>
      <w:b/>
      <w:bCs/>
      <w:color w:val="1B2A4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2026-06-24T11:25:29.101Z</dcterms:created>
  <dcterms:modified xsi:type="dcterms:W3CDTF">2026-06-24T11:25:29.116Z</dcterms:modified>
</cp:coreProperties>
</file>

<file path=docProps/custom.xml><?xml version="1.0" encoding="utf-8"?>
<Properties xmlns="http://schemas.openxmlformats.org/officeDocument/2006/custom-properties" xmlns:vt="http://schemas.openxmlformats.org/officeDocument/2006/docPropsVTypes"/>
</file>