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1B2A4A" w:val="clear"/>
            <w:tcMar>
              <w:top w:type="dxa" w:w="120"/>
              <w:left w:type="dxa" w:w="180"/>
              <w:bottom w:type="dxa" w:w="120"/>
              <w:right w:type="dxa" w:w="180"/>
            </w:tcMar>
            <w:vAlign w:val="top"/>
          </w:tcPr>
          <w:p>
            <w:pPr>
              <w:spacing w:after="0" w:before="0"/>
              <w:jc w:val="center"/>
            </w:pPr>
            <w:r>
              <w:rPr>
                <w:rFonts w:ascii="Arial" w:cs="Arial" w:eastAsia="Arial" w:hAnsi="Arial"/>
                <w:b/>
                <w:bCs/>
                <w:i w:val="false"/>
                <w:iCs w:val="false"/>
                <w:color w:val="FFFFFF"/>
                <w:sz w:val="28"/>
                <w:szCs w:val="28"/>
              </w:rPr>
              <w:t xml:space="preserve">RESOLUTE COMPLIANCE ADVISORY LLP</w:t>
            </w:r>
          </w:p>
          <w:p>
            <w:pPr>
              <w:spacing w:after="0" w:before="0"/>
              <w:jc w:val="center"/>
            </w:pPr>
            <w:r>
              <w:rPr>
                <w:rFonts w:ascii="Arial" w:cs="Arial" w:eastAsia="Arial" w:hAnsi="Arial"/>
                <w:b w:val="false"/>
                <w:bCs w:val="false"/>
                <w:i/>
                <w:iCs/>
                <w:color w:val="C8A951"/>
                <w:sz w:val="18"/>
                <w:szCs w:val="18"/>
              </w:rPr>
              <w:t xml:space="preserve">Governance  ·  Risk  ·  Compliance</w:t>
            </w:r>
          </w:p>
        </w:tc>
      </w:tr>
    </w:tbl>
    <w:p>
      <w:pPr>
        <w:spacing w:after="500" w:before="0"/>
      </w:pPr>
      <w:r>
        <w:t xml:space="preserve"> </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EEF1F7" w:val="clear"/>
            <w:tcMar>
              <w:top w:type="dxa" w:w="120"/>
              <w:left w:type="dxa" w:w="180"/>
              <w:bottom w:type="dxa" w:w="120"/>
              <w:right w:type="dxa" w:w="180"/>
            </w:tcMar>
            <w:vAlign w:val="top"/>
          </w:tcPr>
          <w:p>
            <w:pPr>
              <w:spacing w:after="0" w:before="0"/>
              <w:jc w:val="center"/>
            </w:pPr>
            <w:r>
              <w:rPr>
                <w:rFonts w:ascii="Arial" w:cs="Arial" w:eastAsia="Arial" w:hAnsi="Arial"/>
                <w:b/>
                <w:bCs/>
                <w:i w:val="false"/>
                <w:iCs w:val="false"/>
                <w:color w:val="1B2A4A"/>
                <w:sz w:val="28"/>
                <w:szCs w:val="28"/>
              </w:rPr>
              <w:t xml:space="preserve">EXECUTIVE SUMMARY</w:t>
            </w:r>
          </w:p>
          <w:p>
            <w:pPr>
              <w:spacing w:after="0" w:before="0"/>
              <w:jc w:val="center"/>
            </w:pPr>
            <w:r>
              <w:rPr>
                <w:rFonts w:ascii="Arial" w:cs="Arial" w:eastAsia="Arial" w:hAnsi="Arial"/>
                <w:b w:val="false"/>
                <w:bCs w:val="false"/>
                <w:i/>
                <w:iCs/>
                <w:color w:val="666666"/>
                <w:sz w:val="20"/>
                <w:szCs w:val="20"/>
              </w:rPr>
              <w:t xml:space="preserve">NCA ECC-2:2024 Delta Assessment</w:t>
            </w:r>
          </w:p>
        </w:tc>
      </w:tr>
    </w:tbl>
    <w:p>
      <w:pPr>
        <w:spacing w:after="500" w:before="0"/>
      </w:pPr>
      <w:r>
        <w:t xml:space="preserve"> </w:t>
      </w:r>
    </w:p>
    <w:tbl>
      <w:tblPr>
        <w:tblW w:type="dxa" w:w="9746"/>
        <w:tblBorders>
          <w:top w:val="single" w:color="CCCCCC" w:sz="1"/>
          <w:left w:val="none" w:color="FFFFFF" w:sz="0"/>
          <w:bottom w:val="single" w:color="CCCCCC" w:sz="1"/>
          <w:right w:val="none" w:color="FFFFFF" w:sz="0"/>
          <w:insideH w:val="single" w:color="auto" w:sz="4"/>
          <w:insideV w:val="single" w:color="auto" w:sz="4"/>
        </w:tblBorders>
      </w:tblPr>
      <w:tblGrid>
        <w:gridCol w:w="200"/>
        <w:gridCol w:w="9546"/>
      </w:tblGrid>
      <w:tr>
        <w:tc>
          <w:tcPr>
            <w:tcW w:type="dxa" w:w="200"/>
            <w:tcBorders>
              <w:top w:val="single" w:color="CCCCCC" w:sz="1"/>
              <w:left w:val="single" w:color="CCCCCC" w:sz="1"/>
              <w:bottom w:val="single" w:color="CCCCCC" w:sz="1"/>
              <w:right w:val="single" w:color="CCCCCC" w:sz="1"/>
            </w:tcBorders>
            <w:shd w:fill="C8A951" w:val="clear"/>
            <w:tcMar>
              <w:top w:type="dxa" w:w="0"/>
              <w:left w:type="dxa" w:w="0"/>
              <w:bottom w:type="dxa" w:w="0"/>
              <w:right w:type="dxa" w:w="0"/>
            </w:tcMar>
            <w:vAlign w:val="top"/>
          </w:tcPr>
          <w:p>
            <w:pPr>
              <w:spacing w:after="0" w:before="0"/>
              <w:jc w:val="left"/>
            </w:pPr>
            <w:r>
              <w:t xml:space="preserve"> </w:t>
            </w:r>
          </w:p>
        </w:tc>
        <w:tc>
          <w:tcPr>
            <w:tcW w:type="dxa" w:w="9546"/>
            <w:tcBorders>
              <w:top w:val="single" w:color="CCCCCC" w:sz="1"/>
              <w:left w:val="single" w:color="CCCCCC" w:sz="1"/>
              <w:bottom w:val="single" w:color="CCCCCC" w:sz="1"/>
              <w:right w:val="single" w:color="CCCCCC" w:sz="1"/>
            </w:tcBorders>
            <w:shd w:fill="FFFFFF" w:val="clear"/>
            <w:tcMar>
              <w:top w:type="dxa" w:w="160"/>
              <w:left w:type="dxa" w:w="0"/>
              <w:bottom w:type="dxa" w:w="160"/>
              <w:right w:type="dxa" w:w="120"/>
            </w:tcMar>
            <w:vAlign w:val="top"/>
          </w:tcPr>
          <w:p>
            <w:pPr>
              <w:spacing w:after="0" w:before="0"/>
              <w:ind w:left="160"/>
              <w:jc w:val="left"/>
            </w:pPr>
            <w:r>
              <w:rPr>
                <w:rFonts w:ascii="Arial" w:cs="Arial" w:eastAsia="Arial" w:hAnsi="Arial"/>
                <w:b w:val="false"/>
                <w:bCs w:val="false"/>
                <w:i/>
                <w:iCs/>
                <w:color w:val="666666"/>
                <w:sz w:val="16"/>
                <w:szCs w:val="16"/>
              </w:rPr>
              <w:t xml:space="preserve">Prepared for</w:t>
            </w:r>
          </w:p>
          <w:p>
            <w:pPr>
              <w:spacing w:after="0" w:before="0"/>
              <w:ind w:left="160"/>
              <w:jc w:val="left"/>
            </w:pPr>
            <w:r>
              <w:rPr>
                <w:rFonts w:ascii="Arial" w:cs="Arial" w:eastAsia="Arial" w:hAnsi="Arial"/>
                <w:b/>
                <w:bCs/>
                <w:i w:val="false"/>
                <w:iCs w:val="false"/>
                <w:color w:val="1B2A4A"/>
                <w:sz w:val="26"/>
                <w:szCs w:val="26"/>
              </w:rPr>
              <w:t xml:space="preserve">Al Ameen Insurance Company</w:t>
            </w:r>
          </w:p>
          <w:p>
            <w:pPr>
              <w:spacing w:after="0" w:before="0"/>
              <w:ind w:left="160"/>
              <w:jc w:val="left"/>
            </w:pPr>
            <w:r>
              <w:rPr>
                <w:rFonts w:ascii="Arial" w:cs="Arial" w:eastAsia="Arial" w:hAnsi="Arial"/>
                <w:b w:val="false"/>
                <w:bCs w:val="false"/>
                <w:i w:val="false"/>
                <w:iCs w:val="false"/>
                <w:color w:val="666666"/>
                <w:sz w:val="18"/>
                <w:szCs w:val="18"/>
              </w:rPr>
              <w:t xml:space="preserve">Insurance  ·  Riyadh, Kingdom of Saudi Arabia</w:t>
            </w:r>
          </w:p>
          <w:p>
            <w:pPr>
              <w:spacing w:after="60" w:before="0"/>
            </w:pPr>
            <w:r>
              <w:t xml:space="preserve"> </w:t>
            </w:r>
          </w:p>
          <w:p>
            <w:pPr>
              <w:spacing w:after="0" w:before="0"/>
              <w:ind w:left="160"/>
              <w:jc w:val="left"/>
            </w:pPr>
            <w:r>
              <w:rPr>
                <w:rFonts w:ascii="Arial" w:cs="Arial" w:eastAsia="Arial" w:hAnsi="Arial"/>
                <w:b w:val="false"/>
                <w:bCs w:val="false"/>
                <w:i w:val="false"/>
                <w:iCs w:val="false"/>
                <w:color w:val="1A1A1A"/>
                <w:sz w:val="18"/>
                <w:szCs w:val="18"/>
              </w:rPr>
              <w:t xml:space="preserve">Engagement:  NCA ECC-2:2024 Delta Assessment  (RCA-P3C)</w:t>
            </w:r>
          </w:p>
          <w:p>
            <w:pPr>
              <w:spacing w:after="0" w:before="0"/>
              <w:ind w:left="160"/>
              <w:jc w:val="left"/>
            </w:pPr>
            <w:r>
              <w:rPr>
                <w:rFonts w:ascii="Arial" w:cs="Arial" w:eastAsia="Arial" w:hAnsi="Arial"/>
                <w:b w:val="false"/>
                <w:bCs w:val="false"/>
                <w:i w:val="false"/>
                <w:iCs w:val="false"/>
                <w:color w:val="1A1A1A"/>
                <w:sz w:val="18"/>
                <w:szCs w:val="18"/>
              </w:rPr>
              <w:t xml:space="preserve">Period:  03 February 2025 – 30 April 2025</w:t>
            </w:r>
          </w:p>
          <w:p>
            <w:pPr>
              <w:spacing w:after="0" w:before="0"/>
              <w:ind w:left="160"/>
              <w:jc w:val="left"/>
            </w:pPr>
            <w:r>
              <w:rPr>
                <w:rFonts w:ascii="Arial" w:cs="Arial" w:eastAsia="Arial" w:hAnsi="Arial"/>
                <w:b w:val="false"/>
                <w:bCs w:val="false"/>
                <w:i w:val="false"/>
                <w:iCs w:val="false"/>
                <w:color w:val="1A1A1A"/>
                <w:sz w:val="18"/>
                <w:szCs w:val="18"/>
              </w:rPr>
              <w:t xml:space="preserve">Date:  30 April 2025</w:t>
            </w:r>
          </w:p>
        </w:tc>
      </w:tr>
    </w:tbl>
    <w:p>
      <w:pPr>
        <w:spacing w:after="30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c>
          <w:tcPr>
            <w:tcW w:type="dxa" w:w="3248"/>
            <w:tcBorders>
              <w:top w:val="single" w:color="CCCCCC" w:sz="1"/>
              <w:left w:val="single" w:color="CCCCCC" w:sz="1"/>
              <w:bottom w:val="single" w:color="CCCCCC" w:sz="1"/>
              <w:right w:val="single" w:color="CCCCCC" w:sz="1"/>
            </w:tcBorders>
            <w:tcMar>
              <w:top w:type="dxa" w:w="120"/>
              <w:left w:type="dxa" w:w="140"/>
              <w:bottom w:type="dxa" w:w="120"/>
              <w:right w:type="dxa" w:w="120"/>
            </w:tcMar>
            <w:vAlign w:val="top"/>
          </w:tcPr>
          <w:p>
            <w:pPr>
              <w:spacing w:after="0" w:before="0"/>
              <w:jc w:val="left"/>
            </w:pPr>
            <w:r>
              <w:rPr>
                <w:rFonts w:ascii="Arial" w:cs="Arial" w:eastAsia="Arial" w:hAnsi="Arial"/>
                <w:b w:val="false"/>
                <w:bCs w:val="false"/>
                <w:i/>
                <w:iCs/>
                <w:color w:val="666666"/>
                <w:sz w:val="16"/>
                <w:szCs w:val="16"/>
              </w:rPr>
              <w:t xml:space="preserve">Prepared by</w:t>
            </w:r>
          </w:p>
          <w:p>
            <w:pPr>
              <w:spacing w:after="0" w:before="0"/>
              <w:jc w:val="left"/>
            </w:pPr>
            <w:r>
              <w:rPr>
                <w:rFonts w:ascii="Arial" w:cs="Arial" w:eastAsia="Arial" w:hAnsi="Arial"/>
                <w:b/>
                <w:bCs/>
                <w:i w:val="false"/>
                <w:iCs w:val="false"/>
                <w:color w:val="1B2A4A"/>
                <w:sz w:val="20"/>
                <w:szCs w:val="20"/>
              </w:rPr>
              <w:t xml:space="preserve">kay Shahbaaz</w:t>
            </w:r>
          </w:p>
          <w:p>
            <w:pPr>
              <w:spacing w:after="0" w:before="0"/>
              <w:jc w:val="left"/>
            </w:pPr>
            <w:r>
              <w:rPr>
                <w:rFonts w:ascii="Arial" w:cs="Arial" w:eastAsia="Arial" w:hAnsi="Arial"/>
                <w:b w:val="false"/>
                <w:bCs w:val="false"/>
                <w:i w:val="false"/>
                <w:iCs w:val="false"/>
                <w:color w:val="666666"/>
                <w:sz w:val="18"/>
                <w:szCs w:val="18"/>
              </w:rPr>
              <w:t xml:space="preserve">GRC Auditor</w:t>
            </w:r>
          </w:p>
        </w:tc>
        <w:tc>
          <w:tcPr>
            <w:tcW w:type="dxa" w:w="3248"/>
            <w:tcBorders>
              <w:top w:val="single" w:color="CCCCCC" w:sz="1"/>
              <w:left w:val="single" w:color="CCCCCC" w:sz="1"/>
              <w:bottom w:val="single" w:color="CCCCCC" w:sz="1"/>
              <w:right w:val="single" w:color="CCCCCC" w:sz="1"/>
            </w:tcBorders>
            <w:tcMar>
              <w:top w:type="dxa" w:w="120"/>
              <w:left w:type="dxa" w:w="140"/>
              <w:bottom w:type="dxa" w:w="120"/>
              <w:right w:type="dxa" w:w="120"/>
            </w:tcMar>
            <w:vAlign w:val="top"/>
          </w:tcPr>
          <w:p>
            <w:pPr>
              <w:spacing w:after="0" w:before="0"/>
              <w:jc w:val="left"/>
            </w:pPr>
            <w:r>
              <w:rPr>
                <w:rFonts w:ascii="Arial" w:cs="Arial" w:eastAsia="Arial" w:hAnsi="Arial"/>
                <w:b w:val="false"/>
                <w:bCs w:val="false"/>
                <w:i/>
                <w:iCs/>
                <w:color w:val="666666"/>
                <w:sz w:val="16"/>
                <w:szCs w:val="16"/>
              </w:rPr>
              <w:t xml:space="preserve">Date</w:t>
            </w:r>
          </w:p>
          <w:p>
            <w:pPr>
              <w:spacing w:after="0" w:before="0"/>
              <w:jc w:val="left"/>
            </w:pPr>
            <w:r>
              <w:rPr>
                <w:rFonts w:ascii="Arial" w:cs="Arial" w:eastAsia="Arial" w:hAnsi="Arial"/>
                <w:b/>
                <w:bCs/>
                <w:i w:val="false"/>
                <w:iCs w:val="false"/>
                <w:color w:val="1B2A4A"/>
                <w:sz w:val="20"/>
                <w:szCs w:val="20"/>
              </w:rPr>
              <w:t xml:space="preserve">30 April 2025</w:t>
            </w:r>
          </w:p>
        </w:tc>
        <w:tc>
          <w:tcPr>
            <w:tcW w:type="dxa" w:w="3250"/>
            <w:tcBorders>
              <w:top w:val="single" w:color="CCCCCC" w:sz="1"/>
              <w:left w:val="single" w:color="CCCCCC" w:sz="1"/>
              <w:bottom w:val="single" w:color="CCCCCC" w:sz="1"/>
              <w:right w:val="single" w:color="CCCCCC" w:sz="1"/>
            </w:tcBorders>
            <w:tcMar>
              <w:top w:type="dxa" w:w="120"/>
              <w:left w:type="dxa" w:w="140"/>
              <w:bottom w:type="dxa" w:w="120"/>
              <w:right w:type="dxa" w:w="120"/>
            </w:tcMar>
            <w:vAlign w:val="top"/>
          </w:tcPr>
          <w:p>
            <w:pPr>
              <w:spacing w:after="0" w:before="0"/>
              <w:jc w:val="left"/>
            </w:pPr>
            <w:r>
              <w:rPr>
                <w:rFonts w:ascii="Arial" w:cs="Arial" w:eastAsia="Arial" w:hAnsi="Arial"/>
                <w:b w:val="false"/>
                <w:bCs w:val="false"/>
                <w:i/>
                <w:iCs/>
                <w:color w:val="666666"/>
                <w:sz w:val="16"/>
                <w:szCs w:val="16"/>
              </w:rPr>
              <w:t xml:space="preserve">Document Ref</w:t>
            </w:r>
          </w:p>
          <w:p>
            <w:pPr>
              <w:spacing w:after="0" w:before="0"/>
              <w:jc w:val="left"/>
            </w:pPr>
            <w:r>
              <w:rPr>
                <w:rFonts w:ascii="Arial" w:cs="Arial" w:eastAsia="Arial" w:hAnsi="Arial"/>
                <w:b/>
                <w:bCs/>
                <w:i w:val="false"/>
                <w:iCs w:val="false"/>
                <w:color w:val="1B2A4A"/>
                <w:sz w:val="20"/>
                <w:szCs w:val="20"/>
              </w:rPr>
              <w:t xml:space="preserve">RCA-P3C-005</w:t>
            </w:r>
          </w:p>
        </w:tc>
      </w:tr>
    </w:tbl>
    <w:p>
      <w:pPr>
        <w:spacing w:after="300" w:before="0"/>
      </w:pPr>
      <w:r>
        <w:t xml:space="preserve"> </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EEF1F7" w:val="clear"/>
            <w:tcMar>
              <w:top w:type="dxa" w:w="120"/>
              <w:left w:type="dxa" w:w="180"/>
              <w:bottom w:type="dxa" w:w="120"/>
              <w:right w:type="dxa" w:w="180"/>
            </w:tcMar>
            <w:vAlign w:val="top"/>
          </w:tcPr>
          <w:p>
            <w:pPr>
              <w:spacing w:after="0" w:before="0"/>
              <w:jc w:val="left"/>
            </w:pPr>
            <w:r>
              <w:rPr>
                <w:rFonts w:ascii="Arial" w:cs="Arial" w:eastAsia="Arial" w:hAnsi="Arial"/>
                <w:b/>
                <w:bCs/>
                <w:i w:val="false"/>
                <w:iCs w:val="false"/>
                <w:color w:val="1B2A4A"/>
                <w:sz w:val="17"/>
                <w:szCs w:val="17"/>
              </w:rPr>
              <w:t xml:space="preserve">CONFIDENTIALITY NOTICE  </w:t>
            </w:r>
            <w:r>
              <w:rPr>
                <w:rFonts w:ascii="Arial" w:cs="Arial" w:eastAsia="Arial" w:hAnsi="Arial"/>
                <w:b w:val="false"/>
                <w:bCs w:val="false"/>
                <w:i/>
                <w:iCs/>
                <w:color w:val="666666"/>
                <w:sz w:val="17"/>
                <w:szCs w:val="17"/>
              </w:rPr>
              <w:t xml:space="preserve">This document is prepared exclusively for Al Ameen Insurance Company and is intended for presentation to the Board of Directors and senior management. Unauthorised disclosure is strictly prohibited.</w:t>
            </w:r>
          </w:p>
        </w:tc>
      </w:tr>
    </w:tbl>
    <w:p>
      <w:r>
        <w:br w:type="page"/>
      </w:r>
    </w:p>
    <w:p>
      <w:pPr>
        <w:sectPr>
          <w:pgSz w:w="11906" w:h="16838" w:orient="portrait"/>
          <w:pgMar w:top="1080" w:right="1080" w:bottom="1080" w:left="1080" w:header="708" w:footer="708" w:gutter="0"/>
          <w:pgNumType/>
          <w:docGrid w:linePitch="360"/>
        </w:sectPr>
      </w:pPr>
    </w:p>
    <w:p>
      <w:pPr>
        <w:spacing w:after="80" w:before="0"/>
        <w:jc w:val="left"/>
      </w:pPr>
      <w:r>
        <w:rPr>
          <w:rFonts w:ascii="Arial" w:cs="Arial" w:eastAsia="Arial" w:hAnsi="Arial"/>
          <w:b/>
          <w:bCs/>
          <w:i w:val="false"/>
          <w:iCs w:val="false"/>
          <w:color w:val="1B2A4A"/>
          <w:sz w:val="20"/>
          <w:szCs w:val="20"/>
        </w:rPr>
        <w:t xml:space="preserve">Document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vAlign w:val="top"/>
          </w:tcPr>
          <w:p>
            <w:pPr>
              <w:spacing w:after="0" w:before="0"/>
              <w:jc w:val="left"/>
            </w:pPr>
            <w:r>
              <w:rPr>
                <w:rFonts w:ascii="Arial" w:cs="Arial" w:eastAsia="Arial" w:hAnsi="Arial"/>
                <w:b/>
                <w:bCs/>
                <w:i w:val="false"/>
                <w:iCs w:val="false"/>
                <w:color w:val="1B2A4A"/>
                <w:sz w:val="18"/>
                <w:szCs w:val="18"/>
              </w:rPr>
              <w:t xml:space="preserve">Document Title</w:t>
            </w:r>
          </w:p>
        </w:tc>
        <w:tc>
          <w:tcPr>
            <w:tcW w:type="dxa" w:w="6946"/>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Executive Summary — NCA ECC-2:2024 Delta Assessment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top"/>
          </w:tcPr>
          <w:p>
            <w:pPr>
              <w:spacing w:after="0" w:before="0"/>
              <w:jc w:val="left"/>
            </w:pPr>
            <w:r>
              <w:rPr>
                <w:rFonts w:ascii="Arial" w:cs="Arial" w:eastAsia="Arial" w:hAnsi="Arial"/>
                <w:b/>
                <w:bCs/>
                <w:i w:val="false"/>
                <w:iCs w:val="false"/>
                <w:color w:val="1B2A4A"/>
                <w:sz w:val="18"/>
                <w:szCs w:val="18"/>
              </w:rPr>
              <w:t xml:space="preserve">Document Ref</w:t>
            </w:r>
          </w:p>
        </w:tc>
        <w:tc>
          <w:tcPr>
            <w:tcW w:type="dxa" w:w="694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RCA-P3C-005</w:t>
            </w:r>
          </w:p>
        </w:tc>
      </w:tr>
      <w:tr>
        <w:tc>
          <w:tcPr>
            <w:tcW w:type="dxa" w:w="2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vAlign w:val="top"/>
          </w:tcPr>
          <w:p>
            <w:pPr>
              <w:spacing w:after="0" w:before="0"/>
              <w:jc w:val="left"/>
            </w:pPr>
            <w:r>
              <w:rPr>
                <w:rFonts w:ascii="Arial" w:cs="Arial" w:eastAsia="Arial" w:hAnsi="Arial"/>
                <w:b/>
                <w:bCs/>
                <w:i w:val="false"/>
                <w:iCs w:val="false"/>
                <w:color w:val="1B2A4A"/>
                <w:sz w:val="18"/>
                <w:szCs w:val="18"/>
              </w:rPr>
              <w:t xml:space="preserve">Client</w:t>
            </w:r>
          </w:p>
        </w:tc>
        <w:tc>
          <w:tcPr>
            <w:tcW w:type="dxa" w:w="6946"/>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Al Ameen Insurance Company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top"/>
          </w:tcPr>
          <w:p>
            <w:pPr>
              <w:spacing w:after="0" w:before="0"/>
              <w:jc w:val="left"/>
            </w:pPr>
            <w:r>
              <w:rPr>
                <w:rFonts w:ascii="Arial" w:cs="Arial" w:eastAsia="Arial" w:hAnsi="Arial"/>
                <w:b/>
                <w:bCs/>
                <w:i w:val="false"/>
                <w:iCs w:val="false"/>
                <w:color w:val="1B2A4A"/>
                <w:sz w:val="18"/>
                <w:szCs w:val="18"/>
              </w:rPr>
              <w:t xml:space="preserve">Prepared by</w:t>
            </w:r>
          </w:p>
        </w:tc>
        <w:tc>
          <w:tcPr>
            <w:tcW w:type="dxa" w:w="694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kay Shahbaaz, GRC Auditor</w:t>
            </w:r>
          </w:p>
        </w:tc>
      </w:tr>
      <w:tr>
        <w:tc>
          <w:tcPr>
            <w:tcW w:type="dxa" w:w="2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vAlign w:val="top"/>
          </w:tcPr>
          <w:p>
            <w:pPr>
              <w:spacing w:after="0" w:before="0"/>
              <w:jc w:val="left"/>
            </w:pPr>
            <w:r>
              <w:rPr>
                <w:rFonts w:ascii="Arial" w:cs="Arial" w:eastAsia="Arial" w:hAnsi="Arial"/>
                <w:b/>
                <w:bCs/>
                <w:i w:val="false"/>
                <w:iCs w:val="false"/>
                <w:color w:val="1B2A4A"/>
                <w:sz w:val="18"/>
                <w:szCs w:val="18"/>
              </w:rPr>
              <w:t xml:space="preserve">Date</w:t>
            </w:r>
          </w:p>
        </w:tc>
        <w:tc>
          <w:tcPr>
            <w:tcW w:type="dxa" w:w="6946"/>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30 April 2025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top"/>
          </w:tcPr>
          <w:p>
            <w:pPr>
              <w:spacing w:after="0" w:before="0"/>
              <w:jc w:val="left"/>
            </w:pPr>
            <w:r>
              <w:rPr>
                <w:rFonts w:ascii="Arial" w:cs="Arial" w:eastAsia="Arial" w:hAnsi="Arial"/>
                <w:b/>
                <w:bCs/>
                <w:i w:val="false"/>
                <w:iCs w:val="false"/>
                <w:color w:val="1B2A4A"/>
                <w:sz w:val="18"/>
                <w:szCs w:val="18"/>
              </w:rPr>
              <w:t xml:space="preserve">Version</w:t>
            </w:r>
          </w:p>
        </w:tc>
        <w:tc>
          <w:tcPr>
            <w:tcW w:type="dxa" w:w="694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v1.0</w:t>
            </w:r>
          </w:p>
        </w:tc>
      </w:tr>
      <w:tr>
        <w:tc>
          <w:tcPr>
            <w:tcW w:type="dxa" w:w="2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vAlign w:val="top"/>
          </w:tcPr>
          <w:p>
            <w:pPr>
              <w:spacing w:after="0" w:before="0"/>
              <w:jc w:val="left"/>
            </w:pPr>
            <w:r>
              <w:rPr>
                <w:rFonts w:ascii="Arial" w:cs="Arial" w:eastAsia="Arial" w:hAnsi="Arial"/>
                <w:b/>
                <w:bCs/>
                <w:i w:val="false"/>
                <w:iCs w:val="false"/>
                <w:color w:val="1B2A4A"/>
                <w:sz w:val="18"/>
                <w:szCs w:val="18"/>
              </w:rPr>
              <w:t xml:space="preserve">Classification</w:t>
            </w:r>
          </w:p>
        </w:tc>
        <w:tc>
          <w:tcPr>
            <w:tcW w:type="dxa" w:w="6946"/>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CONFIDENTIAL</w:t>
            </w:r>
          </w:p>
        </w:tc>
      </w:tr>
    </w:tbl>
    <w:p>
      <w:pPr>
        <w:spacing w:after="18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186"/>
      </w:tblGrid>
      <w:tr>
        <w:tc>
          <w:tcPr>
            <w:tcW w:type="dxa" w:w="560"/>
            <w:tcBorders>
              <w:top w:val="single" w:color="CCCCCC" w:sz="1"/>
              <w:left w:val="single" w:color="CCCCCC" w:sz="1"/>
              <w:bottom w:val="single" w:color="CCCCCC" w:sz="1"/>
              <w:right w:val="single" w:color="CCCCCC" w:sz="1"/>
            </w:tcBorders>
            <w:shd w:fill="C8A951"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FFFFFF"/>
                <w:sz w:val="20"/>
                <w:szCs w:val="20"/>
              </w:rPr>
              <w:t xml:space="preserve">1</w:t>
            </w:r>
          </w:p>
        </w:tc>
        <w:tc>
          <w:tcPr>
            <w:tcW w:type="dxa" w:w="9186"/>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vAlign w:val="top"/>
          </w:tcPr>
          <w:p>
            <w:pPr>
              <w:spacing w:after="0" w:before="0"/>
              <w:jc w:val="left"/>
            </w:pPr>
            <w:r>
              <w:rPr>
                <w:rFonts w:ascii="Arial" w:cs="Arial" w:eastAsia="Arial" w:hAnsi="Arial"/>
                <w:b/>
                <w:bCs/>
                <w:i w:val="false"/>
                <w:iCs w:val="false"/>
                <w:color w:val="FFFFFF"/>
                <w:sz w:val="20"/>
                <w:szCs w:val="20"/>
              </w:rPr>
              <w:t xml:space="preserve">Purpose of This Document</w:t>
            </w:r>
          </w:p>
        </w:tc>
      </w:tr>
    </w:tbl>
    <w:p>
      <w:pPr>
        <w:spacing w:after="120" w:before="0"/>
      </w:pPr>
      <w:r>
        <w:t xml:space="preserve"> </w:t>
      </w:r>
    </w:p>
    <w:p>
      <w:pPr>
        <w:spacing w:after="100" w:before="0"/>
        <w:jc w:val="left"/>
      </w:pPr>
      <w:r>
        <w:rPr>
          <w:rFonts w:ascii="Arial" w:cs="Arial" w:eastAsia="Arial" w:hAnsi="Arial"/>
          <w:b w:val="false"/>
          <w:bCs w:val="false"/>
          <w:i w:val="false"/>
          <w:iCs w:val="false"/>
          <w:color w:val="1A1A1A"/>
          <w:sz w:val="19"/>
          <w:szCs w:val="19"/>
        </w:rPr>
        <w:t xml:space="preserve">This Executive Summary is prepared for the Board of Directors and senior management of Al Ameen Insurance Company. It presents the key findings, performance metrics, and recommended actions arising from the NCA ECC-2:2024 Delta Assessment conducted by Resolute Compliance Advisory LLP between 03 February and 30 April 2025.</w:t>
      </w:r>
    </w:p>
    <w:p>
      <w:pPr>
        <w:spacing w:after="100" w:before="0"/>
        <w:jc w:val="left"/>
      </w:pPr>
      <w:r>
        <w:rPr>
          <w:rFonts w:ascii="Arial" w:cs="Arial" w:eastAsia="Arial" w:hAnsi="Arial"/>
          <w:b w:val="false"/>
          <w:bCs w:val="false"/>
          <w:i w:val="false"/>
          <w:iCs w:val="false"/>
          <w:color w:val="1A1A1A"/>
          <w:sz w:val="19"/>
          <w:szCs w:val="19"/>
        </w:rPr>
        <w:t xml:space="preserve">This engagement is a continuation of the Project 3 audit (RCA-P3, October 2024), in which an overall NCA ECC-1:2018 conformance of 29% was identified. The delta assessment evaluates progress made and assesses Al Ameen against the updated NCA ECC-2:2024 framework, which became the applicable regulatory baseline in October 2024.</w:t>
      </w:r>
    </w:p>
    <w:p>
      <w:pPr>
        <w:spacing w:after="100" w:before="0"/>
        <w:jc w:val="left"/>
      </w:pPr>
      <w:r>
        <w:rPr>
          <w:rFonts w:ascii="Arial" w:cs="Arial" w:eastAsia="Arial" w:hAnsi="Arial"/>
          <w:b w:val="false"/>
          <w:bCs w:val="false"/>
          <w:i w:val="false"/>
          <w:iCs w:val="false"/>
          <w:color w:val="1A1A1A"/>
          <w:sz w:val="19"/>
          <w:szCs w:val="19"/>
        </w:rPr>
        <w:t xml:space="preserve">Full findings are documented in the Delta Assessment Findings Report (RCA-P3C-003) and the Updated Risk Register (RCA-P3C-004). This document is designed to be read as a standalone Board-level summary.</w:t>
      </w:r>
    </w:p>
    <w:p>
      <w:pPr>
        <w:spacing w:after="18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186"/>
      </w:tblGrid>
      <w:tr>
        <w:tc>
          <w:tcPr>
            <w:tcW w:type="dxa" w:w="560"/>
            <w:tcBorders>
              <w:top w:val="single" w:color="CCCCCC" w:sz="1"/>
              <w:left w:val="single" w:color="CCCCCC" w:sz="1"/>
              <w:bottom w:val="single" w:color="CCCCCC" w:sz="1"/>
              <w:right w:val="single" w:color="CCCCCC" w:sz="1"/>
            </w:tcBorders>
            <w:shd w:fill="C8A951"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FFFFFF"/>
                <w:sz w:val="20"/>
                <w:szCs w:val="20"/>
              </w:rPr>
              <w:t xml:space="preserve">2</w:t>
            </w:r>
          </w:p>
        </w:tc>
        <w:tc>
          <w:tcPr>
            <w:tcW w:type="dxa" w:w="9186"/>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vAlign w:val="top"/>
          </w:tcPr>
          <w:p>
            <w:pPr>
              <w:spacing w:after="0" w:before="0"/>
              <w:jc w:val="left"/>
            </w:pPr>
            <w:r>
              <w:rPr>
                <w:rFonts w:ascii="Arial" w:cs="Arial" w:eastAsia="Arial" w:hAnsi="Arial"/>
                <w:b/>
                <w:bCs/>
                <w:i w:val="false"/>
                <w:iCs w:val="false"/>
                <w:color w:val="FFFFFF"/>
                <w:sz w:val="20"/>
                <w:szCs w:val="20"/>
              </w:rPr>
              <w:t xml:space="preserve">Performance Scorecard</w:t>
            </w:r>
          </w:p>
        </w:tc>
      </w:tr>
    </w:tbl>
    <w:p>
      <w:pPr>
        <w:spacing w:after="12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c>
          <w:tcPr>
            <w:tcW w:type="dxa" w:w="2436"/>
            <w:tcBorders>
              <w:top w:val="single" w:color="CCCCCC" w:sz="1"/>
              <w:left w:val="single" w:color="CCCCCC" w:sz="1"/>
              <w:bottom w:val="single" w:color="CCCCCC" w:sz="1"/>
              <w:right w:val="single" w:color="CCCCCC" w:sz="1"/>
            </w:tcBorders>
            <w:shd w:fill="1B2A4A" w:val="clear"/>
            <w:tcMar>
              <w:top w:type="dxa" w:w="100"/>
              <w:left w:type="dxa" w:w="80"/>
              <w:bottom w:type="dxa" w:w="100"/>
              <w:right w:type="dxa" w:w="80"/>
            </w:tcMar>
            <w:vAlign w:val="top"/>
          </w:tcPr>
          <w:p>
            <w:pPr>
              <w:spacing w:after="0" w:before="0"/>
              <w:jc w:val="center"/>
            </w:pPr>
            <w:r>
              <w:rPr>
                <w:rFonts w:ascii="Arial" w:cs="Arial" w:eastAsia="Arial" w:hAnsi="Arial"/>
                <w:b/>
                <w:bCs/>
                <w:i w:val="false"/>
                <w:iCs w:val="false"/>
                <w:color w:val="FFFFFF"/>
                <w:sz w:val="18"/>
                <w:szCs w:val="18"/>
              </w:rPr>
              <w:t xml:space="preserve">Key Metric</w:t>
            </w:r>
          </w:p>
        </w:tc>
        <w:tc>
          <w:tcPr>
            <w:tcW w:type="dxa" w:w="2436"/>
            <w:tcBorders>
              <w:top w:val="single" w:color="CCCCCC" w:sz="1"/>
              <w:left w:val="single" w:color="CCCCCC" w:sz="1"/>
              <w:bottom w:val="single" w:color="CCCCCC" w:sz="1"/>
              <w:right w:val="single" w:color="CCCCCC" w:sz="1"/>
            </w:tcBorders>
            <w:shd w:fill="1B2A4A" w:val="clear"/>
            <w:tcMar>
              <w:top w:type="dxa" w:w="100"/>
              <w:left w:type="dxa" w:w="80"/>
              <w:bottom w:type="dxa" w:w="100"/>
              <w:right w:type="dxa" w:w="80"/>
            </w:tcMar>
            <w:vAlign w:val="top"/>
          </w:tcPr>
          <w:p>
            <w:pPr>
              <w:spacing w:after="0" w:before="0"/>
              <w:jc w:val="center"/>
            </w:pPr>
            <w:r>
              <w:rPr>
                <w:rFonts w:ascii="Arial" w:cs="Arial" w:eastAsia="Arial" w:hAnsi="Arial"/>
                <w:b/>
                <w:bCs/>
                <w:i w:val="false"/>
                <w:iCs w:val="false"/>
                <w:color w:val="FFFFFF"/>
                <w:sz w:val="18"/>
                <w:szCs w:val="18"/>
              </w:rPr>
              <w:t xml:space="preserve">Oct 2024 Baseline</w:t>
            </w:r>
          </w:p>
        </w:tc>
        <w:tc>
          <w:tcPr>
            <w:tcW w:type="dxa" w:w="2436"/>
            <w:tcBorders>
              <w:top w:val="single" w:color="CCCCCC" w:sz="1"/>
              <w:left w:val="single" w:color="CCCCCC" w:sz="1"/>
              <w:bottom w:val="single" w:color="CCCCCC" w:sz="1"/>
              <w:right w:val="single" w:color="CCCCCC" w:sz="1"/>
            </w:tcBorders>
            <w:shd w:fill="1B2A4A" w:val="clear"/>
            <w:tcMar>
              <w:top w:type="dxa" w:w="100"/>
              <w:left w:type="dxa" w:w="80"/>
              <w:bottom w:type="dxa" w:w="100"/>
              <w:right w:type="dxa" w:w="80"/>
            </w:tcMar>
            <w:vAlign w:val="top"/>
          </w:tcPr>
          <w:p>
            <w:pPr>
              <w:spacing w:after="0" w:before="0"/>
              <w:jc w:val="center"/>
            </w:pPr>
            <w:r>
              <w:rPr>
                <w:rFonts w:ascii="Arial" w:cs="Arial" w:eastAsia="Arial" w:hAnsi="Arial"/>
                <w:b/>
                <w:bCs/>
                <w:i w:val="false"/>
                <w:iCs w:val="false"/>
                <w:color w:val="FFFFFF"/>
                <w:sz w:val="18"/>
                <w:szCs w:val="18"/>
              </w:rPr>
              <w:t xml:space="preserve">Apr 2025 (ECC-2:2024)</w:t>
            </w:r>
          </w:p>
        </w:tc>
        <w:tc>
          <w:tcPr>
            <w:tcW w:type="dxa" w:w="2438"/>
            <w:tcBorders>
              <w:top w:val="single" w:color="CCCCCC" w:sz="1"/>
              <w:left w:val="single" w:color="CCCCCC" w:sz="1"/>
              <w:bottom w:val="single" w:color="CCCCCC" w:sz="1"/>
              <w:right w:val="single" w:color="CCCCCC" w:sz="1"/>
            </w:tcBorders>
            <w:shd w:fill="1B2A4A" w:val="clear"/>
            <w:tcMar>
              <w:top w:type="dxa" w:w="100"/>
              <w:left w:type="dxa" w:w="80"/>
              <w:bottom w:type="dxa" w:w="100"/>
              <w:right w:type="dxa" w:w="80"/>
            </w:tcMar>
            <w:vAlign w:val="top"/>
          </w:tcPr>
          <w:p>
            <w:pPr>
              <w:spacing w:after="0" w:before="0"/>
              <w:jc w:val="center"/>
            </w:pPr>
            <w:r>
              <w:rPr>
                <w:rFonts w:ascii="Arial" w:cs="Arial" w:eastAsia="Arial" w:hAnsi="Arial"/>
                <w:b/>
                <w:bCs/>
                <w:i w:val="false"/>
                <w:iCs w:val="false"/>
                <w:color w:val="FFFFFF"/>
                <w:sz w:val="18"/>
                <w:szCs w:val="18"/>
              </w:rPr>
              <w:t xml:space="preserve">Movement</w:t>
            </w:r>
          </w:p>
        </w:tc>
      </w:tr>
      <w:tr>
        <w:tc>
          <w:tcPr>
            <w:tcW w:type="dxa" w:w="2436"/>
            <w:tcBorders>
              <w:top w:val="single" w:color="CCCCCC" w:sz="1"/>
              <w:left w:val="single" w:color="CCCCCC" w:sz="1"/>
              <w:bottom w:val="single" w:color="CCCCCC" w:sz="1"/>
              <w:right w:val="single" w:color="CCCCCC" w:sz="1"/>
            </w:tcBorders>
            <w:shd w:fill="EEF1F7" w:val="clear"/>
            <w:tcMar>
              <w:top w:type="dxa" w:w="100"/>
              <w:left w:type="dxa" w:w="140"/>
              <w:bottom w:type="dxa" w:w="100"/>
              <w:right w:type="dxa" w:w="80"/>
            </w:tcMar>
            <w:vAlign w:val="top"/>
          </w:tcPr>
          <w:p>
            <w:pPr>
              <w:spacing w:after="0" w:before="0"/>
              <w:jc w:val="left"/>
            </w:pPr>
            <w:r>
              <w:rPr>
                <w:rFonts w:ascii="Arial" w:cs="Arial" w:eastAsia="Arial" w:hAnsi="Arial"/>
                <w:b/>
                <w:bCs/>
                <w:i w:val="false"/>
                <w:iCs w:val="false"/>
                <w:color w:val="1B2A4A"/>
                <w:sz w:val="19"/>
                <w:szCs w:val="19"/>
              </w:rPr>
              <w:t xml:space="preserve">ECC Conformance</w:t>
            </w:r>
          </w:p>
        </w:tc>
        <w:tc>
          <w:tcPr>
            <w:tcW w:type="dxa" w:w="2436"/>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val="false"/>
                <w:bCs w:val="false"/>
                <w:i w:val="false"/>
                <w:iCs w:val="false"/>
                <w:color w:val="1A1A1A"/>
                <w:sz w:val="19"/>
                <w:szCs w:val="19"/>
              </w:rPr>
              <w:t xml:space="preserve">29%  (ECC-1:2018)</w:t>
            </w:r>
          </w:p>
        </w:tc>
        <w:tc>
          <w:tcPr>
            <w:tcW w:type="dxa" w:w="2436"/>
            <w:tcBorders>
              <w:top w:val="single" w:color="CCCCCC" w:sz="1"/>
              <w:left w:val="single" w:color="CCCCCC" w:sz="1"/>
              <w:bottom w:val="single" w:color="CCCCCC" w:sz="1"/>
              <w:right w:val="single" w:color="CCCCCC" w:sz="1"/>
            </w:tcBorders>
            <w:shd w:fill="EEF1F7"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1B2A4A"/>
                <w:sz w:val="19"/>
                <w:szCs w:val="19"/>
              </w:rPr>
              <w:t xml:space="preserve">39%  (ECC-2:2024)</w:t>
            </w:r>
          </w:p>
        </w:tc>
        <w:tc>
          <w:tcPr>
            <w:tcW w:type="dxa" w:w="2438"/>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1E6B3C"/>
                <w:sz w:val="19"/>
                <w:szCs w:val="19"/>
              </w:rPr>
              <w:t xml:space="preserve">▲ +10 percentage points</w:t>
            </w:r>
          </w:p>
        </w:tc>
      </w:tr>
      <w:tr>
        <w:tc>
          <w:tcPr>
            <w:tcW w:type="dxa" w:w="2436"/>
            <w:tcBorders>
              <w:top w:val="single" w:color="CCCCCC" w:sz="1"/>
              <w:left w:val="single" w:color="CCCCCC" w:sz="1"/>
              <w:bottom w:val="single" w:color="CCCCCC" w:sz="1"/>
              <w:right w:val="single" w:color="CCCCCC" w:sz="1"/>
            </w:tcBorders>
            <w:shd w:fill="EEF1F7" w:val="clear"/>
            <w:tcMar>
              <w:top w:type="dxa" w:w="100"/>
              <w:left w:type="dxa" w:w="140"/>
              <w:bottom w:type="dxa" w:w="100"/>
              <w:right w:type="dxa" w:w="80"/>
            </w:tcMar>
            <w:vAlign w:val="top"/>
          </w:tcPr>
          <w:p>
            <w:pPr>
              <w:spacing w:after="0" w:before="0"/>
              <w:jc w:val="left"/>
            </w:pPr>
            <w:r>
              <w:rPr>
                <w:rFonts w:ascii="Arial" w:cs="Arial" w:eastAsia="Arial" w:hAnsi="Arial"/>
                <w:b/>
                <w:bCs/>
                <w:i w:val="false"/>
                <w:iCs w:val="false"/>
                <w:color w:val="1B2A4A"/>
                <w:sz w:val="19"/>
                <w:szCs w:val="19"/>
              </w:rPr>
              <w:t xml:space="preserve">Framework</w:t>
            </w:r>
          </w:p>
        </w:tc>
        <w:tc>
          <w:tcPr>
            <w:tcW w:type="dxa" w:w="2436"/>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val="false"/>
                <w:bCs w:val="false"/>
                <w:i w:val="false"/>
                <w:iCs w:val="false"/>
                <w:color w:val="1A1A1A"/>
                <w:sz w:val="19"/>
                <w:szCs w:val="19"/>
              </w:rPr>
              <w:t xml:space="preserve">ECC-1:2018 (114 ctrls)</w:t>
            </w:r>
          </w:p>
        </w:tc>
        <w:tc>
          <w:tcPr>
            <w:tcW w:type="dxa" w:w="2436"/>
            <w:tcBorders>
              <w:top w:val="single" w:color="CCCCCC" w:sz="1"/>
              <w:left w:val="single" w:color="CCCCCC" w:sz="1"/>
              <w:bottom w:val="single" w:color="CCCCCC" w:sz="1"/>
              <w:right w:val="single" w:color="CCCCCC" w:sz="1"/>
            </w:tcBorders>
            <w:shd w:fill="EEF1F7"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1B2A4A"/>
                <w:sz w:val="19"/>
                <w:szCs w:val="19"/>
              </w:rPr>
              <w:t xml:space="preserve">ECC-2:2024 (108 ctrls)</w:t>
            </w:r>
          </w:p>
        </w:tc>
        <w:tc>
          <w:tcPr>
            <w:tcW w:type="dxa" w:w="2438"/>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666666"/>
                <w:sz w:val="19"/>
                <w:szCs w:val="19"/>
              </w:rPr>
              <w:t xml:space="preserve">Framework updated Oct 2024</w:t>
            </w:r>
          </w:p>
        </w:tc>
      </w:tr>
      <w:tr>
        <w:tc>
          <w:tcPr>
            <w:tcW w:type="dxa" w:w="2436"/>
            <w:tcBorders>
              <w:top w:val="single" w:color="CCCCCC" w:sz="1"/>
              <w:left w:val="single" w:color="CCCCCC" w:sz="1"/>
              <w:bottom w:val="single" w:color="CCCCCC" w:sz="1"/>
              <w:right w:val="single" w:color="CCCCCC" w:sz="1"/>
            </w:tcBorders>
            <w:shd w:fill="EEF1F7" w:val="clear"/>
            <w:tcMar>
              <w:top w:type="dxa" w:w="100"/>
              <w:left w:type="dxa" w:w="140"/>
              <w:bottom w:type="dxa" w:w="100"/>
              <w:right w:type="dxa" w:w="80"/>
            </w:tcMar>
            <w:vAlign w:val="top"/>
          </w:tcPr>
          <w:p>
            <w:pPr>
              <w:spacing w:after="0" w:before="0"/>
              <w:jc w:val="left"/>
            </w:pPr>
            <w:r>
              <w:rPr>
                <w:rFonts w:ascii="Arial" w:cs="Arial" w:eastAsia="Arial" w:hAnsi="Arial"/>
                <w:b/>
                <w:bCs/>
                <w:i w:val="false"/>
                <w:iCs w:val="false"/>
                <w:color w:val="1B2A4A"/>
                <w:sz w:val="19"/>
                <w:szCs w:val="19"/>
              </w:rPr>
              <w:t xml:space="preserve">Conformant Controls</w:t>
            </w:r>
          </w:p>
        </w:tc>
        <w:tc>
          <w:tcPr>
            <w:tcW w:type="dxa" w:w="2436"/>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val="false"/>
                <w:bCs w:val="false"/>
                <w:i w:val="false"/>
                <w:iCs w:val="false"/>
                <w:color w:val="1A1A1A"/>
                <w:sz w:val="19"/>
                <w:szCs w:val="19"/>
              </w:rPr>
              <w:t xml:space="preserve">33 / 114</w:t>
            </w:r>
          </w:p>
        </w:tc>
        <w:tc>
          <w:tcPr>
            <w:tcW w:type="dxa" w:w="2436"/>
            <w:tcBorders>
              <w:top w:val="single" w:color="CCCCCC" w:sz="1"/>
              <w:left w:val="single" w:color="CCCCCC" w:sz="1"/>
              <w:bottom w:val="single" w:color="CCCCCC" w:sz="1"/>
              <w:right w:val="single" w:color="CCCCCC" w:sz="1"/>
            </w:tcBorders>
            <w:shd w:fill="EEF1F7"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1B2A4A"/>
                <w:sz w:val="19"/>
                <w:szCs w:val="19"/>
              </w:rPr>
              <w:t xml:space="preserve">42 / 108</w:t>
            </w:r>
          </w:p>
        </w:tc>
        <w:tc>
          <w:tcPr>
            <w:tcW w:type="dxa" w:w="2438"/>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1E6B3C"/>
                <w:sz w:val="19"/>
                <w:szCs w:val="19"/>
              </w:rPr>
              <w:t xml:space="preserve">▲ +9 controls conformant</w:t>
            </w:r>
          </w:p>
        </w:tc>
      </w:tr>
      <w:tr>
        <w:tc>
          <w:tcPr>
            <w:tcW w:type="dxa" w:w="2436"/>
            <w:tcBorders>
              <w:top w:val="single" w:color="CCCCCC" w:sz="1"/>
              <w:left w:val="single" w:color="CCCCCC" w:sz="1"/>
              <w:bottom w:val="single" w:color="CCCCCC" w:sz="1"/>
              <w:right w:val="single" w:color="CCCCCC" w:sz="1"/>
            </w:tcBorders>
            <w:shd w:fill="EEF1F7" w:val="clear"/>
            <w:tcMar>
              <w:top w:type="dxa" w:w="100"/>
              <w:left w:type="dxa" w:w="140"/>
              <w:bottom w:type="dxa" w:w="100"/>
              <w:right w:type="dxa" w:w="80"/>
            </w:tcMar>
            <w:vAlign w:val="top"/>
          </w:tcPr>
          <w:p>
            <w:pPr>
              <w:spacing w:after="0" w:before="0"/>
              <w:jc w:val="left"/>
            </w:pPr>
            <w:r>
              <w:rPr>
                <w:rFonts w:ascii="Arial" w:cs="Arial" w:eastAsia="Arial" w:hAnsi="Arial"/>
                <w:b/>
                <w:bCs/>
                <w:i w:val="false"/>
                <w:iCs w:val="false"/>
                <w:color w:val="1B2A4A"/>
                <w:sz w:val="19"/>
                <w:szCs w:val="19"/>
              </w:rPr>
              <w:t xml:space="preserve">Critical Findings</w:t>
            </w:r>
          </w:p>
        </w:tc>
        <w:tc>
          <w:tcPr>
            <w:tcW w:type="dxa" w:w="2436"/>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val="false"/>
                <w:bCs w:val="false"/>
                <w:i w:val="false"/>
                <w:iCs w:val="false"/>
                <w:color w:val="1A1A1A"/>
                <w:sz w:val="19"/>
                <w:szCs w:val="19"/>
              </w:rPr>
              <w:t xml:space="preserve">5 Critical</w:t>
            </w:r>
          </w:p>
        </w:tc>
        <w:tc>
          <w:tcPr>
            <w:tcW w:type="dxa" w:w="2436"/>
            <w:tcBorders>
              <w:top w:val="single" w:color="CCCCCC" w:sz="1"/>
              <w:left w:val="single" w:color="CCCCCC" w:sz="1"/>
              <w:bottom w:val="single" w:color="CCCCCC" w:sz="1"/>
              <w:right w:val="single" w:color="CCCCCC" w:sz="1"/>
            </w:tcBorders>
            <w:shd w:fill="EEF1F7"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1B2A4A"/>
                <w:sz w:val="19"/>
                <w:szCs w:val="19"/>
              </w:rPr>
              <w:t xml:space="preserve">3 Critical (open)</w:t>
            </w:r>
          </w:p>
        </w:tc>
        <w:tc>
          <w:tcPr>
            <w:tcW w:type="dxa" w:w="2438"/>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1E6B3C"/>
                <w:sz w:val="19"/>
                <w:szCs w:val="19"/>
              </w:rPr>
              <w:t xml:space="preserve">▼ 2 resolved</w:t>
            </w:r>
          </w:p>
        </w:tc>
      </w:tr>
      <w:tr>
        <w:tc>
          <w:tcPr>
            <w:tcW w:type="dxa" w:w="2436"/>
            <w:tcBorders>
              <w:top w:val="single" w:color="CCCCCC" w:sz="1"/>
              <w:left w:val="single" w:color="CCCCCC" w:sz="1"/>
              <w:bottom w:val="single" w:color="CCCCCC" w:sz="1"/>
              <w:right w:val="single" w:color="CCCCCC" w:sz="1"/>
            </w:tcBorders>
            <w:shd w:fill="EEF1F7" w:val="clear"/>
            <w:tcMar>
              <w:top w:type="dxa" w:w="100"/>
              <w:left w:type="dxa" w:w="140"/>
              <w:bottom w:type="dxa" w:w="100"/>
              <w:right w:type="dxa" w:w="80"/>
            </w:tcMar>
            <w:vAlign w:val="top"/>
          </w:tcPr>
          <w:p>
            <w:pPr>
              <w:spacing w:after="0" w:before="0"/>
              <w:jc w:val="left"/>
            </w:pPr>
            <w:r>
              <w:rPr>
                <w:rFonts w:ascii="Arial" w:cs="Arial" w:eastAsia="Arial" w:hAnsi="Arial"/>
                <w:b/>
                <w:bCs/>
                <w:i w:val="false"/>
                <w:iCs w:val="false"/>
                <w:color w:val="1B2A4A"/>
                <w:sz w:val="19"/>
                <w:szCs w:val="19"/>
              </w:rPr>
              <w:t xml:space="preserve">High Findings</w:t>
            </w:r>
          </w:p>
        </w:tc>
        <w:tc>
          <w:tcPr>
            <w:tcW w:type="dxa" w:w="2436"/>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val="false"/>
                <w:bCs w:val="false"/>
                <w:i w:val="false"/>
                <w:iCs w:val="false"/>
                <w:color w:val="1A1A1A"/>
                <w:sz w:val="19"/>
                <w:szCs w:val="19"/>
              </w:rPr>
              <w:t xml:space="preserve">5 High</w:t>
            </w:r>
          </w:p>
        </w:tc>
        <w:tc>
          <w:tcPr>
            <w:tcW w:type="dxa" w:w="2436"/>
            <w:tcBorders>
              <w:top w:val="single" w:color="CCCCCC" w:sz="1"/>
              <w:left w:val="single" w:color="CCCCCC" w:sz="1"/>
              <w:bottom w:val="single" w:color="CCCCCC" w:sz="1"/>
              <w:right w:val="single" w:color="CCCCCC" w:sz="1"/>
            </w:tcBorders>
            <w:shd w:fill="EEF1F7"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1B2A4A"/>
                <w:sz w:val="19"/>
                <w:szCs w:val="19"/>
              </w:rPr>
              <w:t xml:space="preserve">4 High (open)</w:t>
            </w:r>
          </w:p>
        </w:tc>
        <w:tc>
          <w:tcPr>
            <w:tcW w:type="dxa" w:w="2438"/>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1E6B3C"/>
                <w:sz w:val="19"/>
                <w:szCs w:val="19"/>
              </w:rPr>
              <w:t xml:space="preserve">▼ 1 resolved (log retention)</w:t>
            </w:r>
          </w:p>
        </w:tc>
      </w:tr>
      <w:tr>
        <w:tc>
          <w:tcPr>
            <w:tcW w:type="dxa" w:w="2436"/>
            <w:tcBorders>
              <w:top w:val="single" w:color="CCCCCC" w:sz="1"/>
              <w:left w:val="single" w:color="CCCCCC" w:sz="1"/>
              <w:bottom w:val="single" w:color="CCCCCC" w:sz="1"/>
              <w:right w:val="single" w:color="CCCCCC" w:sz="1"/>
            </w:tcBorders>
            <w:shd w:fill="EEF1F7" w:val="clear"/>
            <w:tcMar>
              <w:top w:type="dxa" w:w="100"/>
              <w:left w:type="dxa" w:w="140"/>
              <w:bottom w:type="dxa" w:w="100"/>
              <w:right w:type="dxa" w:w="80"/>
            </w:tcMar>
            <w:vAlign w:val="top"/>
          </w:tcPr>
          <w:p>
            <w:pPr>
              <w:spacing w:after="0" w:before="0"/>
              <w:jc w:val="left"/>
            </w:pPr>
            <w:r>
              <w:rPr>
                <w:rFonts w:ascii="Arial" w:cs="Arial" w:eastAsia="Arial" w:hAnsi="Arial"/>
                <w:b/>
                <w:bCs/>
                <w:i w:val="false"/>
                <w:iCs w:val="false"/>
                <w:color w:val="1B2A4A"/>
                <w:sz w:val="19"/>
                <w:szCs w:val="19"/>
              </w:rPr>
              <w:t xml:space="preserve">Live Critical Risk</w:t>
            </w:r>
          </w:p>
        </w:tc>
        <w:tc>
          <w:tcPr>
            <w:tcW w:type="dxa" w:w="2436"/>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val="false"/>
                <w:bCs w:val="false"/>
                <w:i w:val="false"/>
                <w:iCs w:val="false"/>
                <w:color w:val="1A1A1A"/>
                <w:sz w:val="19"/>
                <w:szCs w:val="19"/>
              </w:rPr>
              <w:t xml:space="preserve">R-006: ACTIVE (L5×I5)</w:t>
            </w:r>
          </w:p>
        </w:tc>
        <w:tc>
          <w:tcPr>
            <w:tcW w:type="dxa" w:w="2436"/>
            <w:tcBorders>
              <w:top w:val="single" w:color="CCCCCC" w:sz="1"/>
              <w:left w:val="single" w:color="CCCCCC" w:sz="1"/>
              <w:bottom w:val="single" w:color="CCCCCC" w:sz="1"/>
              <w:right w:val="single" w:color="CCCCCC" w:sz="1"/>
            </w:tcBorders>
            <w:shd w:fill="EEF1F7"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1B2A4A"/>
                <w:sz w:val="19"/>
                <w:szCs w:val="19"/>
              </w:rPr>
              <w:t xml:space="preserve">R-006: CLOSED</w:t>
            </w:r>
          </w:p>
        </w:tc>
        <w:tc>
          <w:tcPr>
            <w:tcW w:type="dxa" w:w="2438"/>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1E6B3C"/>
                <w:sz w:val="19"/>
                <w:szCs w:val="19"/>
              </w:rPr>
              <w:t xml:space="preserve">✓ Resolved — Oracle creds revoked</w:t>
            </w:r>
          </w:p>
        </w:tc>
      </w:tr>
      <w:tr>
        <w:tc>
          <w:tcPr>
            <w:tcW w:type="dxa" w:w="2436"/>
            <w:tcBorders>
              <w:top w:val="single" w:color="CCCCCC" w:sz="1"/>
              <w:left w:val="single" w:color="CCCCCC" w:sz="1"/>
              <w:bottom w:val="single" w:color="CCCCCC" w:sz="1"/>
              <w:right w:val="single" w:color="CCCCCC" w:sz="1"/>
            </w:tcBorders>
            <w:shd w:fill="EEF1F7" w:val="clear"/>
            <w:tcMar>
              <w:top w:type="dxa" w:w="100"/>
              <w:left w:type="dxa" w:w="140"/>
              <w:bottom w:type="dxa" w:w="100"/>
              <w:right w:type="dxa" w:w="80"/>
            </w:tcMar>
            <w:vAlign w:val="top"/>
          </w:tcPr>
          <w:p>
            <w:pPr>
              <w:spacing w:after="0" w:before="0"/>
              <w:jc w:val="left"/>
            </w:pPr>
            <w:r>
              <w:rPr>
                <w:rFonts w:ascii="Arial" w:cs="Arial" w:eastAsia="Arial" w:hAnsi="Arial"/>
                <w:b/>
                <w:bCs/>
                <w:i w:val="false"/>
                <w:iCs w:val="false"/>
                <w:color w:val="1B2A4A"/>
                <w:sz w:val="19"/>
                <w:szCs w:val="19"/>
              </w:rPr>
              <w:t xml:space="preserve">New ECC-2:2024 Gaps</w:t>
            </w:r>
          </w:p>
        </w:tc>
        <w:tc>
          <w:tcPr>
            <w:tcW w:type="dxa" w:w="2436"/>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val="false"/>
                <w:bCs w:val="false"/>
                <w:i w:val="false"/>
                <w:iCs w:val="false"/>
                <w:color w:val="1A1A1A"/>
                <w:sz w:val="19"/>
                <w:szCs w:val="19"/>
              </w:rPr>
              <w:t xml:space="preserve">—</w:t>
            </w:r>
          </w:p>
        </w:tc>
        <w:tc>
          <w:tcPr>
            <w:tcW w:type="dxa" w:w="2436"/>
            <w:tcBorders>
              <w:top w:val="single" w:color="CCCCCC" w:sz="1"/>
              <w:left w:val="single" w:color="CCCCCC" w:sz="1"/>
              <w:bottom w:val="single" w:color="CCCCCC" w:sz="1"/>
              <w:right w:val="single" w:color="CCCCCC" w:sz="1"/>
            </w:tcBorders>
            <w:shd w:fill="EEF1F7"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1B2A4A"/>
                <w:sz w:val="19"/>
                <w:szCs w:val="19"/>
              </w:rPr>
              <w:t xml:space="preserve">10 new gaps</w:t>
            </w:r>
          </w:p>
        </w:tc>
        <w:tc>
          <w:tcPr>
            <w:tcW w:type="dxa" w:w="2438"/>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B45309"/>
                <w:sz w:val="19"/>
                <w:szCs w:val="19"/>
              </w:rPr>
              <w:t xml:space="preserve">Crypto, supply chain, threat intel</w:t>
            </w:r>
          </w:p>
        </w:tc>
      </w:tr>
      <w:tr>
        <w:tc>
          <w:tcPr>
            <w:tcW w:type="dxa" w:w="2436"/>
            <w:tcBorders>
              <w:top w:val="single" w:color="CCCCCC" w:sz="1"/>
              <w:left w:val="single" w:color="CCCCCC" w:sz="1"/>
              <w:bottom w:val="single" w:color="CCCCCC" w:sz="1"/>
              <w:right w:val="single" w:color="CCCCCC" w:sz="1"/>
            </w:tcBorders>
            <w:shd w:fill="EEF1F7" w:val="clear"/>
            <w:tcMar>
              <w:top w:type="dxa" w:w="100"/>
              <w:left w:type="dxa" w:w="140"/>
              <w:bottom w:type="dxa" w:w="100"/>
              <w:right w:type="dxa" w:w="80"/>
            </w:tcMar>
            <w:vAlign w:val="top"/>
          </w:tcPr>
          <w:p>
            <w:pPr>
              <w:spacing w:after="0" w:before="0"/>
              <w:jc w:val="left"/>
            </w:pPr>
            <w:r>
              <w:rPr>
                <w:rFonts w:ascii="Arial" w:cs="Arial" w:eastAsia="Arial" w:hAnsi="Arial"/>
                <w:b/>
                <w:bCs/>
                <w:i w:val="false"/>
                <w:iCs w:val="false"/>
                <w:color w:val="1B2A4A"/>
                <w:sz w:val="19"/>
                <w:szCs w:val="19"/>
              </w:rPr>
              <w:t xml:space="preserve">SAMA CSF Maturity</w:t>
            </w:r>
          </w:p>
        </w:tc>
        <w:tc>
          <w:tcPr>
            <w:tcW w:type="dxa" w:w="2436"/>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val="false"/>
                <w:bCs w:val="false"/>
                <w:i w:val="false"/>
                <w:iCs w:val="false"/>
                <w:color w:val="1A1A1A"/>
                <w:sz w:val="19"/>
                <w:szCs w:val="19"/>
              </w:rPr>
              <w:t xml:space="preserve">1.6 / 4.0</w:t>
            </w:r>
          </w:p>
        </w:tc>
        <w:tc>
          <w:tcPr>
            <w:tcW w:type="dxa" w:w="2436"/>
            <w:tcBorders>
              <w:top w:val="single" w:color="CCCCCC" w:sz="1"/>
              <w:left w:val="single" w:color="CCCCCC" w:sz="1"/>
              <w:bottom w:val="single" w:color="CCCCCC" w:sz="1"/>
              <w:right w:val="single" w:color="CCCCCC" w:sz="1"/>
            </w:tcBorders>
            <w:shd w:fill="EEF1F7"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1B2A4A"/>
                <w:sz w:val="19"/>
                <w:szCs w:val="19"/>
              </w:rPr>
              <w:t xml:space="preserve">Est. 2.1 / 4.0</w:t>
            </w:r>
          </w:p>
        </w:tc>
        <w:tc>
          <w:tcPr>
            <w:tcW w:type="dxa" w:w="2438"/>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1E6B3C"/>
                <w:sz w:val="19"/>
                <w:szCs w:val="19"/>
              </w:rPr>
              <w:t xml:space="preserve">▲ Governance domain improving</w:t>
            </w:r>
          </w:p>
        </w:tc>
      </w:tr>
      <w:tr>
        <w:tc>
          <w:tcPr>
            <w:tcW w:type="dxa" w:w="2436"/>
            <w:tcBorders>
              <w:top w:val="single" w:color="CCCCCC" w:sz="1"/>
              <w:left w:val="single" w:color="CCCCCC" w:sz="1"/>
              <w:bottom w:val="single" w:color="CCCCCC" w:sz="1"/>
              <w:right w:val="single" w:color="CCCCCC" w:sz="1"/>
            </w:tcBorders>
            <w:shd w:fill="EEF1F7" w:val="clear"/>
            <w:tcMar>
              <w:top w:type="dxa" w:w="100"/>
              <w:left w:type="dxa" w:w="140"/>
              <w:bottom w:type="dxa" w:w="100"/>
              <w:right w:type="dxa" w:w="80"/>
            </w:tcMar>
            <w:vAlign w:val="top"/>
          </w:tcPr>
          <w:p>
            <w:pPr>
              <w:spacing w:after="0" w:before="0"/>
              <w:jc w:val="left"/>
            </w:pPr>
            <w:r>
              <w:rPr>
                <w:rFonts w:ascii="Arial" w:cs="Arial" w:eastAsia="Arial" w:hAnsi="Arial"/>
                <w:b/>
                <w:bCs/>
                <w:i w:val="false"/>
                <w:iCs w:val="false"/>
                <w:color w:val="1B2A4A"/>
                <w:sz w:val="19"/>
                <w:szCs w:val="19"/>
              </w:rPr>
              <w:t xml:space="preserve">Target Conformance</w:t>
            </w:r>
          </w:p>
        </w:tc>
        <w:tc>
          <w:tcPr>
            <w:tcW w:type="dxa" w:w="2436"/>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val="false"/>
                <w:bCs w:val="false"/>
                <w:i w:val="false"/>
                <w:iCs w:val="false"/>
                <w:color w:val="1A1A1A"/>
                <w:sz w:val="19"/>
                <w:szCs w:val="19"/>
              </w:rPr>
              <w:t xml:space="preserve">—</w:t>
            </w:r>
          </w:p>
        </w:tc>
        <w:tc>
          <w:tcPr>
            <w:tcW w:type="dxa" w:w="2436"/>
            <w:tcBorders>
              <w:top w:val="single" w:color="CCCCCC" w:sz="1"/>
              <w:left w:val="single" w:color="CCCCCC" w:sz="1"/>
              <w:bottom w:val="single" w:color="CCCCCC" w:sz="1"/>
              <w:right w:val="single" w:color="CCCCCC" w:sz="1"/>
            </w:tcBorders>
            <w:shd w:fill="EEF1F7"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1B2A4A"/>
                <w:sz w:val="19"/>
                <w:szCs w:val="19"/>
              </w:rPr>
              <w:t xml:space="preserve">60% by Oct 2025</w:t>
            </w:r>
          </w:p>
        </w:tc>
        <w:tc>
          <w:tcPr>
            <w:tcW w:type="dxa" w:w="2438"/>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spacing w:after="0" w:before="0"/>
              <w:jc w:val="left"/>
            </w:pPr>
            <w:r>
              <w:rPr>
                <w:rFonts w:ascii="Arial" w:cs="Arial" w:eastAsia="Arial" w:hAnsi="Arial"/>
                <w:b/>
                <w:bCs/>
                <w:i w:val="false"/>
                <w:iCs w:val="false"/>
                <w:color w:val="B45309"/>
                <w:sz w:val="19"/>
                <w:szCs w:val="19"/>
              </w:rPr>
              <w:t xml:space="preserve">On track if Phase 2–3 executed</w:t>
            </w:r>
          </w:p>
        </w:tc>
      </w:tr>
    </w:tbl>
    <w:p>
      <w:pPr>
        <w:spacing w:after="18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186"/>
      </w:tblGrid>
      <w:tr>
        <w:tc>
          <w:tcPr>
            <w:tcW w:type="dxa" w:w="560"/>
            <w:tcBorders>
              <w:top w:val="single" w:color="CCCCCC" w:sz="1"/>
              <w:left w:val="single" w:color="CCCCCC" w:sz="1"/>
              <w:bottom w:val="single" w:color="CCCCCC" w:sz="1"/>
              <w:right w:val="single" w:color="CCCCCC" w:sz="1"/>
            </w:tcBorders>
            <w:shd w:fill="C8A951"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FFFFFF"/>
                <w:sz w:val="20"/>
                <w:szCs w:val="20"/>
              </w:rPr>
              <w:t xml:space="preserve">3</w:t>
            </w:r>
          </w:p>
        </w:tc>
        <w:tc>
          <w:tcPr>
            <w:tcW w:type="dxa" w:w="9186"/>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vAlign w:val="top"/>
          </w:tcPr>
          <w:p>
            <w:pPr>
              <w:spacing w:after="0" w:before="0"/>
              <w:jc w:val="left"/>
            </w:pPr>
            <w:r>
              <w:rPr>
                <w:rFonts w:ascii="Arial" w:cs="Arial" w:eastAsia="Arial" w:hAnsi="Arial"/>
                <w:b/>
                <w:bCs/>
                <w:i w:val="false"/>
                <w:iCs w:val="false"/>
                <w:color w:val="FFFFFF"/>
                <w:sz w:val="20"/>
                <w:szCs w:val="20"/>
              </w:rPr>
              <w:t xml:space="preserve">Phase 1 Remediation Achievements</w:t>
            </w:r>
          </w:p>
        </w:tc>
      </w:tr>
    </w:tbl>
    <w:p>
      <w:pPr>
        <w:spacing w:after="120" w:before="0"/>
      </w:pPr>
      <w:r>
        <w:t xml:space="preserve"> </w:t>
      </w:r>
    </w:p>
    <w:p>
      <w:pPr>
        <w:spacing w:after="100" w:before="0"/>
        <w:jc w:val="left"/>
      </w:pPr>
      <w:r>
        <w:rPr>
          <w:rFonts w:ascii="Arial" w:cs="Arial" w:eastAsia="Arial" w:hAnsi="Arial"/>
          <w:b w:val="false"/>
          <w:bCs w:val="false"/>
          <w:i w:val="false"/>
          <w:iCs w:val="false"/>
          <w:color w:val="1A1A1A"/>
          <w:sz w:val="19"/>
          <w:szCs w:val="19"/>
        </w:rPr>
        <w:t xml:space="preserve">Phase 1 of the corrective action plan (November–December 2024) is substantially complete. Seven of eight Phase 1 actions have been verified with supporting evidence: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Phase 1 Achievement</w:t>
            </w:r>
          </w:p>
        </w:tc>
        <w:tc>
          <w:tcPr>
            <w:tcW w:type="dxa" w:w="4873"/>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Outcome</w:t>
            </w:r>
          </w:p>
        </w:tc>
      </w:tr>
      <w:tr>
        <w:tc>
          <w:tcPr>
            <w:tcW w:type="dxa" w:w="4873"/>
            <w:tcBorders>
              <w:top w:val="single" w:color="CCCCCC" w:sz="1"/>
              <w:left w:val="single" w:color="CCCCCC" w:sz="1"/>
              <w:bottom w:val="single" w:color="CCCCCC" w:sz="1"/>
              <w:right w:val="single" w:color="CCCCCC" w:sz="1"/>
            </w:tcBorders>
            <w:shd w:fill="C8E6C9"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E6B3C"/>
                <w:sz w:val="18"/>
                <w:szCs w:val="18"/>
              </w:rPr>
              <w:t xml:space="preserve">✓  IT Security Manager appointed</w:t>
            </w:r>
          </w:p>
        </w:tc>
        <w:tc>
          <w:tcPr>
            <w:tcW w:type="dxa" w:w="4873"/>
            <w:tcBorders>
              <w:top w:val="single" w:color="CCCCCC" w:sz="1"/>
              <w:left w:val="single" w:color="CCCCCC" w:sz="1"/>
              <w:bottom w:val="single" w:color="CCCCCC" w:sz="1"/>
              <w:right w:val="single" w:color="CCCCCC" w:sz="1"/>
            </w:tcBorders>
            <w:shd w:fill="C8E6C9"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Governance structure established. Cybersecurity has a named owner with Board reporting.</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E6B3C"/>
                <w:sz w:val="18"/>
                <w:szCs w:val="18"/>
              </w:rPr>
              <w:t xml:space="preserve">✓  Oracle shared credentials revoked</w:t>
            </w:r>
          </w:p>
        </w:tc>
        <w:tc>
          <w:tcPr>
            <w:tcW w:type="dxa" w:w="487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Live Critical risk R-006 (L5×I5=25) closed. Individual named accounts provisioned for all Oracle administrators.</w:t>
            </w:r>
          </w:p>
        </w:tc>
      </w:tr>
      <w:tr>
        <w:tc>
          <w:tcPr>
            <w:tcW w:type="dxa" w:w="4873"/>
            <w:tcBorders>
              <w:top w:val="single" w:color="CCCCCC" w:sz="1"/>
              <w:left w:val="single" w:color="CCCCCC" w:sz="1"/>
              <w:bottom w:val="single" w:color="CCCCCC" w:sz="1"/>
              <w:right w:val="single" w:color="CCCCCC" w:sz="1"/>
            </w:tcBorders>
            <w:shd w:fill="C8E6C9"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E6B3C"/>
                <w:sz w:val="18"/>
                <w:szCs w:val="18"/>
              </w:rPr>
              <w:t xml:space="preserve">✓  Azure AD MFA enforced — privileged accounts</w:t>
            </w:r>
          </w:p>
        </w:tc>
        <w:tc>
          <w:tcPr>
            <w:tcW w:type="dxa" w:w="4873"/>
            <w:tcBorders>
              <w:top w:val="single" w:color="CCCCCC" w:sz="1"/>
              <w:left w:val="single" w:color="CCCCCC" w:sz="1"/>
              <w:bottom w:val="single" w:color="CCCCCC" w:sz="1"/>
              <w:right w:val="single" w:color="CCCCCC" w:sz="1"/>
            </w:tcBorders>
            <w:shd w:fill="C8E6C9"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14 privileged accounts now require MFA. Significant IAM improvement over ECC-1 baseline.</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E6B3C"/>
                <w:sz w:val="18"/>
                <w:szCs w:val="18"/>
              </w:rPr>
              <w:t xml:space="preserve">✓  Log retention extended to 12 months</w:t>
            </w:r>
          </w:p>
        </w:tc>
        <w:tc>
          <w:tcPr>
            <w:tcW w:type="dxa" w:w="487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SAMA log retention requirement met. Azure Monitor and Sentinel log sources confirmed at 365 days.</w:t>
            </w:r>
          </w:p>
        </w:tc>
      </w:tr>
      <w:tr>
        <w:tc>
          <w:tcPr>
            <w:tcW w:type="dxa" w:w="4873"/>
            <w:tcBorders>
              <w:top w:val="single" w:color="CCCCCC" w:sz="1"/>
              <w:left w:val="single" w:color="CCCCCC" w:sz="1"/>
              <w:bottom w:val="single" w:color="CCCCCC" w:sz="1"/>
              <w:right w:val="single" w:color="CCCCCC" w:sz="1"/>
            </w:tcBorders>
            <w:shd w:fill="C8E6C9"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E6B3C"/>
                <w:sz w:val="18"/>
                <w:szCs w:val="18"/>
              </w:rPr>
              <w:t xml:space="preserve">✓  Cybersecurity policy ratified by Board</w:t>
            </w:r>
          </w:p>
        </w:tc>
        <w:tc>
          <w:tcPr>
            <w:tcW w:type="dxa" w:w="4873"/>
            <w:tcBorders>
              <w:top w:val="single" w:color="CCCCCC" w:sz="1"/>
              <w:left w:val="single" w:color="CCCCCC" w:sz="1"/>
              <w:bottom w:val="single" w:color="CCCCCC" w:sz="1"/>
              <w:right w:val="single" w:color="CCCCCC" w:sz="1"/>
            </w:tcBorders>
            <w:shd w:fill="C8E6C9"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Top-level cybersecurity policy (v1.0) approved January 2025. Governance foundation established.</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E6B3C"/>
                <w:sz w:val="18"/>
                <w:szCs w:val="18"/>
              </w:rPr>
              <w:t xml:space="preserve">✓  All-staff awareness training delivered</w:t>
            </w:r>
          </w:p>
        </w:tc>
        <w:tc>
          <w:tcPr>
            <w:tcW w:type="dxa" w:w="487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271 of 290 employees attended December 2024 session (93%). Make-up session completed March 2025.</w:t>
            </w:r>
          </w:p>
        </w:tc>
      </w:tr>
      <w:tr>
        <w:tc>
          <w:tcPr>
            <w:tcW w:type="dxa" w:w="4873"/>
            <w:tcBorders>
              <w:top w:val="single" w:color="CCCCCC" w:sz="1"/>
              <w:left w:val="single" w:color="CCCCCC" w:sz="1"/>
              <w:bottom w:val="single" w:color="CCCCCC" w:sz="1"/>
              <w:right w:val="single" w:color="CCCCCC" w:sz="1"/>
            </w:tcBorders>
            <w:shd w:fill="C8E6C9"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E6B3C"/>
                <w:sz w:val="18"/>
                <w:szCs w:val="18"/>
              </w:rPr>
              <w:t xml:space="preserve">✓  Critical asset inventory completed</w:t>
            </w:r>
          </w:p>
        </w:tc>
        <w:tc>
          <w:tcPr>
            <w:tcW w:type="dxa" w:w="4873"/>
            <w:tcBorders>
              <w:top w:val="single" w:color="CCCCCC" w:sz="1"/>
              <w:left w:val="single" w:color="CCCCCC" w:sz="1"/>
              <w:bottom w:val="single" w:color="CCCCCC" w:sz="1"/>
              <w:right w:val="single" w:color="CCCCCC" w:sz="1"/>
            </w:tcBorders>
            <w:shd w:fill="C8E6C9"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47 critical systems documented. Oracle Insurance, Guidewire, Azure AD, network infrastructure catalogued.</w:t>
            </w:r>
          </w:p>
        </w:tc>
      </w:tr>
    </w:tbl>
    <w:p>
      <w:pPr>
        <w:spacing w:after="100" w:before="0"/>
      </w:pPr>
      <w:r>
        <w:t xml:space="preserve"> </w:t>
      </w:r>
    </w:p>
    <w:p>
      <w:pPr>
        <w:spacing w:after="80" w:before="0"/>
        <w:jc w:val="left"/>
      </w:pPr>
      <w:r>
        <w:rPr>
          <w:rFonts w:ascii="Arial" w:cs="Arial" w:eastAsia="Arial" w:hAnsi="Arial"/>
          <w:b w:val="false"/>
          <w:bCs w:val="false"/>
          <w:i/>
          <w:iCs/>
          <w:color w:val="666666"/>
          <w:sz w:val="19"/>
          <w:szCs w:val="19"/>
        </w:rPr>
        <w:t xml:space="preserve">CA-008 (third-party risk framework development) remains In Progress — a consultant has been engaged and the framework is expected by March 2025.</w:t>
      </w:r>
    </w:p>
    <w:p>
      <w:pPr>
        <w:spacing w:after="18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186"/>
      </w:tblGrid>
      <w:tr>
        <w:tc>
          <w:tcPr>
            <w:tcW w:type="dxa" w:w="560"/>
            <w:tcBorders>
              <w:top w:val="single" w:color="CCCCCC" w:sz="1"/>
              <w:left w:val="single" w:color="CCCCCC" w:sz="1"/>
              <w:bottom w:val="single" w:color="CCCCCC" w:sz="1"/>
              <w:right w:val="single" w:color="CCCCCC" w:sz="1"/>
            </w:tcBorders>
            <w:shd w:fill="C8A951"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FFFFFF"/>
                <w:sz w:val="20"/>
                <w:szCs w:val="20"/>
              </w:rPr>
              <w:t xml:space="preserve">4</w:t>
            </w:r>
          </w:p>
        </w:tc>
        <w:tc>
          <w:tcPr>
            <w:tcW w:type="dxa" w:w="9186"/>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vAlign w:val="top"/>
          </w:tcPr>
          <w:p>
            <w:pPr>
              <w:spacing w:after="0" w:before="0"/>
              <w:jc w:val="left"/>
            </w:pPr>
            <w:r>
              <w:rPr>
                <w:rFonts w:ascii="Arial" w:cs="Arial" w:eastAsia="Arial" w:hAnsi="Arial"/>
                <w:b/>
                <w:bCs/>
                <w:i w:val="false"/>
                <w:iCs w:val="false"/>
                <w:color w:val="FFFFFF"/>
                <w:sz w:val="20"/>
                <w:szCs w:val="20"/>
              </w:rPr>
              <w:t xml:space="preserve">ECC-2:2024 Conformance by Domain</w:t>
            </w:r>
          </w:p>
        </w:tc>
      </w:tr>
    </w:tbl>
    <w:p>
      <w:pPr>
        <w:spacing w:after="12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000"/>
        <w:gridCol w:w="1000"/>
        <w:gridCol w:w="3546"/>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Domain</w:t>
            </w:r>
          </w:p>
        </w:tc>
        <w:tc>
          <w:tcPr>
            <w:tcW w:type="dxa" w:w="1000"/>
            <w:tcBorders>
              <w:top w:val="single" w:color="CCCCCC" w:sz="1"/>
              <w:left w:val="single" w:color="CCCCCC" w:sz="1"/>
              <w:bottom w:val="single" w:color="CCCCCC" w:sz="1"/>
              <w:right w:val="single" w:color="CCCCCC" w:sz="1"/>
            </w:tcBorders>
            <w:shd w:fill="1B2A4A" w:val="clear"/>
            <w:tcMar>
              <w:top w:type="dxa" w:w="80"/>
              <w:left w:type="dxa" w:w="40"/>
              <w:bottom w:type="dxa" w:w="80"/>
              <w:right w:type="dxa" w:w="40"/>
            </w:tcMar>
            <w:vAlign w:val="top"/>
          </w:tcPr>
          <w:p>
            <w:pPr>
              <w:spacing w:after="0" w:before="0"/>
              <w:jc w:val="center"/>
            </w:pPr>
            <w:r>
              <w:rPr>
                <w:rFonts w:ascii="Arial" w:cs="Arial" w:eastAsia="Arial" w:hAnsi="Arial"/>
                <w:b/>
                <w:bCs/>
                <w:i w:val="false"/>
                <w:iCs w:val="false"/>
                <w:color w:val="FFFFFF"/>
                <w:sz w:val="18"/>
                <w:szCs w:val="18"/>
              </w:rPr>
              <w:t xml:space="preserve">Controls</w:t>
            </w:r>
          </w:p>
        </w:tc>
        <w:tc>
          <w:tcPr>
            <w:tcW w:type="dxa" w:w="1000"/>
            <w:tcBorders>
              <w:top w:val="single" w:color="CCCCCC" w:sz="1"/>
              <w:left w:val="single" w:color="CCCCCC" w:sz="1"/>
              <w:bottom w:val="single" w:color="CCCCCC" w:sz="1"/>
              <w:right w:val="single" w:color="CCCCCC" w:sz="1"/>
            </w:tcBorders>
            <w:shd w:fill="1B2A4A" w:val="clear"/>
            <w:tcMar>
              <w:top w:type="dxa" w:w="80"/>
              <w:left w:type="dxa" w:w="40"/>
              <w:bottom w:type="dxa" w:w="80"/>
              <w:right w:type="dxa" w:w="40"/>
            </w:tcMar>
            <w:vAlign w:val="top"/>
          </w:tcPr>
          <w:p>
            <w:pPr>
              <w:spacing w:after="0" w:before="0"/>
              <w:jc w:val="center"/>
            </w:pPr>
            <w:r>
              <w:rPr>
                <w:rFonts w:ascii="Arial" w:cs="Arial" w:eastAsia="Arial" w:hAnsi="Arial"/>
                <w:b/>
                <w:bCs/>
                <w:i w:val="false"/>
                <w:iCs w:val="false"/>
                <w:color w:val="FFFFFF"/>
                <w:sz w:val="18"/>
                <w:szCs w:val="18"/>
              </w:rPr>
              <w:t xml:space="preserve">Conformant</w:t>
            </w:r>
          </w:p>
        </w:tc>
        <w:tc>
          <w:tcPr>
            <w:tcW w:type="dxa" w:w="1000"/>
            <w:tcBorders>
              <w:top w:val="single" w:color="CCCCCC" w:sz="1"/>
              <w:left w:val="single" w:color="CCCCCC" w:sz="1"/>
              <w:bottom w:val="single" w:color="CCCCCC" w:sz="1"/>
              <w:right w:val="single" w:color="CCCCCC" w:sz="1"/>
            </w:tcBorders>
            <w:shd w:fill="1B2A4A" w:val="clear"/>
            <w:tcMar>
              <w:top w:type="dxa" w:w="80"/>
              <w:left w:type="dxa" w:w="40"/>
              <w:bottom w:type="dxa" w:w="80"/>
              <w:right w:type="dxa" w:w="40"/>
            </w:tcMar>
            <w:vAlign w:val="top"/>
          </w:tcPr>
          <w:p>
            <w:pPr>
              <w:spacing w:after="0" w:before="0"/>
              <w:jc w:val="center"/>
            </w:pPr>
            <w:r>
              <w:rPr>
                <w:rFonts w:ascii="Arial" w:cs="Arial" w:eastAsia="Arial" w:hAnsi="Arial"/>
                <w:b/>
                <w:bCs/>
                <w:i w:val="false"/>
                <w:iCs w:val="false"/>
                <w:color w:val="FFFFFF"/>
                <w:sz w:val="18"/>
                <w:szCs w:val="18"/>
              </w:rPr>
              <w:t xml:space="preserve">Rating</w:t>
            </w:r>
          </w:p>
        </w:tc>
        <w:tc>
          <w:tcPr>
            <w:tcW w:type="dxa" w:w="3546"/>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Auditor Comment</w:t>
            </w:r>
          </w:p>
        </w:tc>
      </w:tr>
      <w:tr>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1. Cybersecurity Governance</w:t>
            </w:r>
          </w:p>
        </w:tc>
        <w:tc>
          <w:tcPr>
            <w:tcW w:type="dxa" w:w="1000"/>
            <w:tcBorders>
              <w:top w:val="single" w:color="CCCCCC" w:sz="1"/>
              <w:left w:val="single" w:color="CCCCCC" w:sz="1"/>
              <w:bottom w:val="single" w:color="CCCCCC" w:sz="1"/>
              <w:right w:val="single" w:color="CCCCCC" w:sz="1"/>
            </w:tcBorders>
            <w:shd w:fill="FFF9C4" w:val="clear"/>
            <w:tcMar>
              <w:top w:type="dxa" w:w="80"/>
              <w:left w:type="dxa" w:w="40"/>
              <w:bottom w:type="dxa" w:w="80"/>
              <w:right w:type="dxa" w:w="40"/>
            </w:tcMar>
            <w:vAlign w:val="top"/>
          </w:tcPr>
          <w:p>
            <w:pPr>
              <w:spacing w:after="0" w:before="0"/>
              <w:jc w:val="center"/>
            </w:pPr>
            <w:r>
              <w:rPr>
                <w:rFonts w:ascii="Arial" w:cs="Arial" w:eastAsia="Arial" w:hAnsi="Arial"/>
                <w:b w:val="false"/>
                <w:bCs w:val="false"/>
                <w:i w:val="false"/>
                <w:iCs w:val="false"/>
                <w:color w:val="1A1A1A"/>
                <w:sz w:val="18"/>
                <w:szCs w:val="18"/>
              </w:rPr>
              <w:t xml:space="preserve">28</w:t>
            </w:r>
          </w:p>
        </w:tc>
        <w:tc>
          <w:tcPr>
            <w:tcW w:type="dxa" w:w="1000"/>
            <w:tcBorders>
              <w:top w:val="single" w:color="CCCCCC" w:sz="1"/>
              <w:left w:val="single" w:color="CCCCCC" w:sz="1"/>
              <w:bottom w:val="single" w:color="CCCCCC" w:sz="1"/>
              <w:right w:val="single" w:color="CCCCCC" w:sz="1"/>
            </w:tcBorders>
            <w:shd w:fill="FFF9C4" w:val="clear"/>
            <w:tcMar>
              <w:top w:type="dxa" w:w="80"/>
              <w:left w:type="dxa" w:w="40"/>
              <w:bottom w:type="dxa" w:w="80"/>
              <w:right w:type="dxa" w:w="40"/>
            </w:tcMar>
            <w:vAlign w:val="top"/>
          </w:tcPr>
          <w:p>
            <w:pPr>
              <w:spacing w:after="0" w:before="0"/>
              <w:jc w:val="center"/>
            </w:pPr>
            <w:r>
              <w:rPr>
                <w:rFonts w:ascii="Arial" w:cs="Arial" w:eastAsia="Arial" w:hAnsi="Arial"/>
                <w:b/>
                <w:bCs/>
                <w:i w:val="false"/>
                <w:iCs w:val="false"/>
                <w:color w:val="B45309"/>
                <w:sz w:val="18"/>
                <w:szCs w:val="18"/>
              </w:rPr>
              <w:t xml:space="preserve">9  (32%)</w:t>
            </w:r>
          </w:p>
        </w:tc>
        <w:tc>
          <w:tcPr>
            <w:tcW w:type="dxa" w:w="1000"/>
            <w:tcBorders>
              <w:top w:val="single" w:color="CCCCCC" w:sz="1"/>
              <w:left w:val="single" w:color="CCCCCC" w:sz="1"/>
              <w:bottom w:val="single" w:color="CCCCCC" w:sz="1"/>
              <w:right w:val="single" w:color="CCCCCC" w:sz="1"/>
            </w:tcBorders>
            <w:shd w:fill="FFF9C4" w:val="clear"/>
            <w:tcMar>
              <w:top w:type="dxa" w:w="80"/>
              <w:left w:type="dxa" w:w="40"/>
              <w:bottom w:type="dxa" w:w="80"/>
              <w:right w:type="dxa" w:w="40"/>
            </w:tcMar>
            <w:vAlign w:val="top"/>
          </w:tcPr>
          <w:p>
            <w:pPr>
              <w:spacing w:after="0" w:before="0"/>
              <w:jc w:val="center"/>
            </w:pPr>
            <w:r>
              <w:rPr>
                <w:rFonts w:ascii="Arial" w:cs="Arial" w:eastAsia="Arial" w:hAnsi="Arial"/>
                <w:b/>
                <w:bCs/>
                <w:i w:val="false"/>
                <w:iCs w:val="false"/>
                <w:color w:val="B45309"/>
                <w:sz w:val="18"/>
                <w:szCs w:val="18"/>
              </w:rPr>
              <w:t xml:space="preserve">Developing</w:t>
            </w:r>
          </w:p>
        </w:tc>
        <w:tc>
          <w:tcPr>
            <w:tcW w:type="dxa" w:w="3546"/>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Policy ratified. Risk assessment underway. Cryptographic governance absent.</w:t>
            </w:r>
          </w:p>
        </w:tc>
      </w:tr>
      <w:tr>
        <w:tc>
          <w:tcPr>
            <w:tcW w:type="dxa" w:w="3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2. Cybersecurity Defence</w:t>
            </w:r>
          </w:p>
        </w:tc>
        <w:tc>
          <w:tcPr>
            <w:tcW w:type="dxa" w:w="1000"/>
            <w:tcBorders>
              <w:top w:val="single" w:color="CCCCCC" w:sz="1"/>
              <w:left w:val="single" w:color="CCCCCC" w:sz="1"/>
              <w:bottom w:val="single" w:color="CCCCCC" w:sz="1"/>
              <w:right w:val="single" w:color="CCCCCC" w:sz="1"/>
            </w:tcBorders>
            <w:shd w:fill="C8E6C9" w:val="clear"/>
            <w:tcMar>
              <w:top w:type="dxa" w:w="80"/>
              <w:left w:type="dxa" w:w="40"/>
              <w:bottom w:type="dxa" w:w="80"/>
              <w:right w:type="dxa" w:w="40"/>
            </w:tcMar>
            <w:vAlign w:val="top"/>
          </w:tcPr>
          <w:p>
            <w:pPr>
              <w:spacing w:after="0" w:before="0"/>
              <w:jc w:val="center"/>
            </w:pPr>
            <w:r>
              <w:rPr>
                <w:rFonts w:ascii="Arial" w:cs="Arial" w:eastAsia="Arial" w:hAnsi="Arial"/>
                <w:b w:val="false"/>
                <w:bCs w:val="false"/>
                <w:i w:val="false"/>
                <w:iCs w:val="false"/>
                <w:color w:val="1A1A1A"/>
                <w:sz w:val="18"/>
                <w:szCs w:val="18"/>
              </w:rPr>
              <w:t xml:space="preserve">44</w:t>
            </w:r>
          </w:p>
        </w:tc>
        <w:tc>
          <w:tcPr>
            <w:tcW w:type="dxa" w:w="1000"/>
            <w:tcBorders>
              <w:top w:val="single" w:color="CCCCCC" w:sz="1"/>
              <w:left w:val="single" w:color="CCCCCC" w:sz="1"/>
              <w:bottom w:val="single" w:color="CCCCCC" w:sz="1"/>
              <w:right w:val="single" w:color="CCCCCC" w:sz="1"/>
            </w:tcBorders>
            <w:shd w:fill="C8E6C9" w:val="clear"/>
            <w:tcMar>
              <w:top w:type="dxa" w:w="80"/>
              <w:left w:type="dxa" w:w="40"/>
              <w:bottom w:type="dxa" w:w="80"/>
              <w:right w:type="dxa" w:w="40"/>
            </w:tcMar>
            <w:vAlign w:val="top"/>
          </w:tcPr>
          <w:p>
            <w:pPr>
              <w:spacing w:after="0" w:before="0"/>
              <w:jc w:val="center"/>
            </w:pPr>
            <w:r>
              <w:rPr>
                <w:rFonts w:ascii="Arial" w:cs="Arial" w:eastAsia="Arial" w:hAnsi="Arial"/>
                <w:b/>
                <w:bCs/>
                <w:i w:val="false"/>
                <w:iCs w:val="false"/>
                <w:color w:val="1E6B3C"/>
                <w:sz w:val="18"/>
                <w:szCs w:val="18"/>
              </w:rPr>
              <w:t xml:space="preserve">22  (50%)</w:t>
            </w:r>
          </w:p>
        </w:tc>
        <w:tc>
          <w:tcPr>
            <w:tcW w:type="dxa" w:w="1000"/>
            <w:tcBorders>
              <w:top w:val="single" w:color="CCCCCC" w:sz="1"/>
              <w:left w:val="single" w:color="CCCCCC" w:sz="1"/>
              <w:bottom w:val="single" w:color="CCCCCC" w:sz="1"/>
              <w:right w:val="single" w:color="CCCCCC" w:sz="1"/>
            </w:tcBorders>
            <w:shd w:fill="C8E6C9" w:val="clear"/>
            <w:tcMar>
              <w:top w:type="dxa" w:w="80"/>
              <w:left w:type="dxa" w:w="40"/>
              <w:bottom w:type="dxa" w:w="80"/>
              <w:right w:type="dxa" w:w="40"/>
            </w:tcMar>
            <w:vAlign w:val="top"/>
          </w:tcPr>
          <w:p>
            <w:pPr>
              <w:spacing w:after="0" w:before="0"/>
              <w:jc w:val="center"/>
            </w:pPr>
            <w:r>
              <w:rPr>
                <w:rFonts w:ascii="Arial" w:cs="Arial" w:eastAsia="Arial" w:hAnsi="Arial"/>
                <w:b/>
                <w:bCs/>
                <w:i w:val="false"/>
                <w:iCs w:val="false"/>
                <w:color w:val="1E6B3C"/>
                <w:sz w:val="18"/>
                <w:szCs w:val="18"/>
              </w:rPr>
              <w:t xml:space="preserve">Improving</w:t>
            </w:r>
          </w:p>
        </w:tc>
        <w:tc>
          <w:tcPr>
            <w:tcW w:type="dxa" w:w="3546"/>
            <w:tcBorders>
              <w:top w:val="single" w:color="CCCCCC" w:sz="1"/>
              <w:left w:val="single" w:color="CCCCCC" w:sz="1"/>
              <w:bottom w:val="single" w:color="CCCCCC" w:sz="1"/>
              <w:right w:val="single" w:color="CCCCCC" w:sz="1"/>
            </w:tcBorders>
            <w:shd w:fill="C8E6C9"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IAM strongest domain. Vulnerability mgmt, EDR, AppSec not yet started.</w:t>
            </w:r>
          </w:p>
        </w:tc>
      </w:tr>
      <w:tr>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3. Cybersecurity Resilience</w:t>
            </w:r>
          </w:p>
        </w:tc>
        <w:tc>
          <w:tcPr>
            <w:tcW w:type="dxa" w:w="1000"/>
            <w:tcBorders>
              <w:top w:val="single" w:color="CCCCCC" w:sz="1"/>
              <w:left w:val="single" w:color="CCCCCC" w:sz="1"/>
              <w:bottom w:val="single" w:color="CCCCCC" w:sz="1"/>
              <w:right w:val="single" w:color="CCCCCC" w:sz="1"/>
            </w:tcBorders>
            <w:shd w:fill="FFCDD2" w:val="clear"/>
            <w:tcMar>
              <w:top w:type="dxa" w:w="80"/>
              <w:left w:type="dxa" w:w="40"/>
              <w:bottom w:type="dxa" w:w="80"/>
              <w:right w:type="dxa" w:w="40"/>
            </w:tcMar>
            <w:vAlign w:val="top"/>
          </w:tcPr>
          <w:p>
            <w:pPr>
              <w:spacing w:after="0" w:before="0"/>
              <w:jc w:val="center"/>
            </w:pPr>
            <w:r>
              <w:rPr>
                <w:rFonts w:ascii="Arial" w:cs="Arial" w:eastAsia="Arial" w:hAnsi="Arial"/>
                <w:b w:val="false"/>
                <w:bCs w:val="false"/>
                <w:i w:val="false"/>
                <w:iCs w:val="false"/>
                <w:color w:val="1A1A1A"/>
                <w:sz w:val="18"/>
                <w:szCs w:val="18"/>
              </w:rPr>
              <w:t xml:space="preserve">17</w:t>
            </w:r>
          </w:p>
        </w:tc>
        <w:tc>
          <w:tcPr>
            <w:tcW w:type="dxa" w:w="1000"/>
            <w:tcBorders>
              <w:top w:val="single" w:color="CCCCCC" w:sz="1"/>
              <w:left w:val="single" w:color="CCCCCC" w:sz="1"/>
              <w:bottom w:val="single" w:color="CCCCCC" w:sz="1"/>
              <w:right w:val="single" w:color="CCCCCC" w:sz="1"/>
            </w:tcBorders>
            <w:shd w:fill="FFCDD2" w:val="clear"/>
            <w:tcMar>
              <w:top w:type="dxa" w:w="80"/>
              <w:left w:type="dxa" w:w="40"/>
              <w:bottom w:type="dxa" w:w="80"/>
              <w:right w:type="dxa" w:w="40"/>
            </w:tcMar>
            <w:vAlign w:val="top"/>
          </w:tcPr>
          <w:p>
            <w:pPr>
              <w:spacing w:after="0" w:before="0"/>
              <w:jc w:val="center"/>
            </w:pPr>
            <w:r>
              <w:rPr>
                <w:rFonts w:ascii="Arial" w:cs="Arial" w:eastAsia="Arial" w:hAnsi="Arial"/>
                <w:b/>
                <w:bCs/>
                <w:i w:val="false"/>
                <w:iCs w:val="false"/>
                <w:color w:val="8B1A1A"/>
                <w:sz w:val="18"/>
                <w:szCs w:val="18"/>
              </w:rPr>
              <w:t xml:space="preserve">5  (29%)</w:t>
            </w:r>
          </w:p>
        </w:tc>
        <w:tc>
          <w:tcPr>
            <w:tcW w:type="dxa" w:w="1000"/>
            <w:tcBorders>
              <w:top w:val="single" w:color="CCCCCC" w:sz="1"/>
              <w:left w:val="single" w:color="CCCCCC" w:sz="1"/>
              <w:bottom w:val="single" w:color="CCCCCC" w:sz="1"/>
              <w:right w:val="single" w:color="CCCCCC" w:sz="1"/>
            </w:tcBorders>
            <w:shd w:fill="FFCDD2" w:val="clear"/>
            <w:tcMar>
              <w:top w:type="dxa" w:w="80"/>
              <w:left w:type="dxa" w:w="40"/>
              <w:bottom w:type="dxa" w:w="80"/>
              <w:right w:type="dxa" w:w="40"/>
            </w:tcMar>
            <w:vAlign w:val="top"/>
          </w:tcPr>
          <w:p>
            <w:pPr>
              <w:spacing w:after="0" w:before="0"/>
              <w:jc w:val="center"/>
            </w:pPr>
            <w:r>
              <w:rPr>
                <w:rFonts w:ascii="Arial" w:cs="Arial" w:eastAsia="Arial" w:hAnsi="Arial"/>
                <w:b/>
                <w:bCs/>
                <w:i w:val="false"/>
                <w:iCs w:val="false"/>
                <w:color w:val="8B1A1A"/>
                <w:sz w:val="18"/>
                <w:szCs w:val="18"/>
              </w:rPr>
              <w:t xml:space="preserve">Weak</w:t>
            </w:r>
          </w:p>
        </w:tc>
        <w:tc>
          <w:tcPr>
            <w:tcW w:type="dxa" w:w="3546"/>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Log retention SAMA-compliant. IRP and BCP/DRP entirely absent.</w:t>
            </w:r>
          </w:p>
        </w:tc>
      </w:tr>
      <w:tr>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4. Third-Party &amp; Cloud Security</w:t>
            </w:r>
          </w:p>
        </w:tc>
        <w:tc>
          <w:tcPr>
            <w:tcW w:type="dxa" w:w="1000"/>
            <w:tcBorders>
              <w:top w:val="single" w:color="CCCCCC" w:sz="1"/>
              <w:left w:val="single" w:color="CCCCCC" w:sz="1"/>
              <w:bottom w:val="single" w:color="CCCCCC" w:sz="1"/>
              <w:right w:val="single" w:color="CCCCCC" w:sz="1"/>
            </w:tcBorders>
            <w:shd w:fill="FFCDD2" w:val="clear"/>
            <w:tcMar>
              <w:top w:type="dxa" w:w="80"/>
              <w:left w:type="dxa" w:w="40"/>
              <w:bottom w:type="dxa" w:w="80"/>
              <w:right w:type="dxa" w:w="40"/>
            </w:tcMar>
            <w:vAlign w:val="top"/>
          </w:tcPr>
          <w:p>
            <w:pPr>
              <w:spacing w:after="0" w:before="0"/>
              <w:jc w:val="center"/>
            </w:pPr>
            <w:r>
              <w:rPr>
                <w:rFonts w:ascii="Arial" w:cs="Arial" w:eastAsia="Arial" w:hAnsi="Arial"/>
                <w:b w:val="false"/>
                <w:bCs w:val="false"/>
                <w:i w:val="false"/>
                <w:iCs w:val="false"/>
                <w:color w:val="1A1A1A"/>
                <w:sz w:val="18"/>
                <w:szCs w:val="18"/>
              </w:rPr>
              <w:t xml:space="preserve">15</w:t>
            </w:r>
          </w:p>
        </w:tc>
        <w:tc>
          <w:tcPr>
            <w:tcW w:type="dxa" w:w="1000"/>
            <w:tcBorders>
              <w:top w:val="single" w:color="CCCCCC" w:sz="1"/>
              <w:left w:val="single" w:color="CCCCCC" w:sz="1"/>
              <w:bottom w:val="single" w:color="CCCCCC" w:sz="1"/>
              <w:right w:val="single" w:color="CCCCCC" w:sz="1"/>
            </w:tcBorders>
            <w:shd w:fill="FFCDD2" w:val="clear"/>
            <w:tcMar>
              <w:top w:type="dxa" w:w="80"/>
              <w:left w:type="dxa" w:w="40"/>
              <w:bottom w:type="dxa" w:w="80"/>
              <w:right w:type="dxa" w:w="40"/>
            </w:tcMar>
            <w:vAlign w:val="top"/>
          </w:tcPr>
          <w:p>
            <w:pPr>
              <w:spacing w:after="0" w:before="0"/>
              <w:jc w:val="center"/>
            </w:pPr>
            <w:r>
              <w:rPr>
                <w:rFonts w:ascii="Arial" w:cs="Arial" w:eastAsia="Arial" w:hAnsi="Arial"/>
                <w:b/>
                <w:bCs/>
                <w:i w:val="false"/>
                <w:iCs w:val="false"/>
                <w:color w:val="8B1A1A"/>
                <w:sz w:val="18"/>
                <w:szCs w:val="18"/>
              </w:rPr>
              <w:t xml:space="preserve">4  (27%)</w:t>
            </w:r>
          </w:p>
        </w:tc>
        <w:tc>
          <w:tcPr>
            <w:tcW w:type="dxa" w:w="1000"/>
            <w:tcBorders>
              <w:top w:val="single" w:color="CCCCCC" w:sz="1"/>
              <w:left w:val="single" w:color="CCCCCC" w:sz="1"/>
              <w:bottom w:val="single" w:color="CCCCCC" w:sz="1"/>
              <w:right w:val="single" w:color="CCCCCC" w:sz="1"/>
            </w:tcBorders>
            <w:shd w:fill="FFCDD2" w:val="clear"/>
            <w:tcMar>
              <w:top w:type="dxa" w:w="80"/>
              <w:left w:type="dxa" w:w="40"/>
              <w:bottom w:type="dxa" w:w="80"/>
              <w:right w:type="dxa" w:w="40"/>
            </w:tcMar>
            <w:vAlign w:val="top"/>
          </w:tcPr>
          <w:p>
            <w:pPr>
              <w:spacing w:after="0" w:before="0"/>
              <w:jc w:val="center"/>
            </w:pPr>
            <w:r>
              <w:rPr>
                <w:rFonts w:ascii="Arial" w:cs="Arial" w:eastAsia="Arial" w:hAnsi="Arial"/>
                <w:b/>
                <w:bCs/>
                <w:i w:val="false"/>
                <w:iCs w:val="false"/>
                <w:color w:val="8B1A1A"/>
                <w:sz w:val="18"/>
                <w:szCs w:val="18"/>
              </w:rPr>
              <w:t xml:space="preserve">Weak</w:t>
            </w:r>
          </w:p>
        </w:tc>
        <w:tc>
          <w:tcPr>
            <w:tcW w:type="dxa" w:w="3546"/>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 security clauses in Najm or Shafafiyah contracts. New ECC-2 gaps unaddressed.</w:t>
            </w:r>
          </w:p>
        </w:tc>
      </w:tr>
      <w:tr>
        <w:tc>
          <w:tcPr>
            <w:tcW w:type="dxa" w:w="3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5. ICS/OT Security</w:t>
            </w:r>
          </w:p>
        </w:tc>
        <w:tc>
          <w:tcPr>
            <w:tcW w:type="dxa" w:w="1000"/>
            <w:tcBorders>
              <w:top w:val="single" w:color="CCCCCC" w:sz="1"/>
              <w:left w:val="single" w:color="CCCCCC" w:sz="1"/>
              <w:bottom w:val="single" w:color="CCCCCC" w:sz="1"/>
              <w:right w:val="single" w:color="CCCCCC" w:sz="1"/>
            </w:tcBorders>
            <w:shd w:fill="EEF1F7" w:val="clear"/>
            <w:tcMar>
              <w:top w:type="dxa" w:w="80"/>
              <w:left w:type="dxa" w:w="40"/>
              <w:bottom w:type="dxa" w:w="80"/>
              <w:right w:type="dxa" w:w="40"/>
            </w:tcMar>
            <w:vAlign w:val="top"/>
          </w:tcPr>
          <w:p>
            <w:pPr>
              <w:spacing w:after="0" w:before="0"/>
              <w:jc w:val="center"/>
            </w:pPr>
            <w:r>
              <w:rPr>
                <w:rFonts w:ascii="Arial" w:cs="Arial" w:eastAsia="Arial" w:hAnsi="Arial"/>
                <w:b w:val="false"/>
                <w:bCs w:val="false"/>
                <w:i w:val="false"/>
                <w:iCs w:val="false"/>
                <w:color w:val="1A1A1A"/>
                <w:sz w:val="18"/>
                <w:szCs w:val="18"/>
              </w:rPr>
              <w:t xml:space="preserve">4</w:t>
            </w:r>
          </w:p>
        </w:tc>
        <w:tc>
          <w:tcPr>
            <w:tcW w:type="dxa" w:w="1000"/>
            <w:tcBorders>
              <w:top w:val="single" w:color="CCCCCC" w:sz="1"/>
              <w:left w:val="single" w:color="CCCCCC" w:sz="1"/>
              <w:bottom w:val="single" w:color="CCCCCC" w:sz="1"/>
              <w:right w:val="single" w:color="CCCCCC" w:sz="1"/>
            </w:tcBorders>
            <w:shd w:fill="EEF1F7" w:val="clear"/>
            <w:tcMar>
              <w:top w:type="dxa" w:w="80"/>
              <w:left w:type="dxa" w:w="40"/>
              <w:bottom w:type="dxa" w:w="80"/>
              <w:right w:type="dxa" w:w="40"/>
            </w:tcMar>
            <w:vAlign w:val="top"/>
          </w:tcPr>
          <w:p>
            <w:pPr>
              <w:spacing w:after="0" w:before="0"/>
              <w:jc w:val="center"/>
            </w:pPr>
            <w:r>
              <w:rPr>
                <w:rFonts w:ascii="Arial" w:cs="Arial" w:eastAsia="Arial" w:hAnsi="Arial"/>
                <w:b/>
                <w:bCs/>
                <w:i w:val="false"/>
                <w:iCs w:val="false"/>
                <w:color w:val="666666"/>
                <w:sz w:val="18"/>
                <w:szCs w:val="18"/>
              </w:rPr>
              <w:t xml:space="preserve">N/A</w:t>
            </w:r>
          </w:p>
        </w:tc>
        <w:tc>
          <w:tcPr>
            <w:tcW w:type="dxa" w:w="1000"/>
            <w:tcBorders>
              <w:top w:val="single" w:color="CCCCCC" w:sz="1"/>
              <w:left w:val="single" w:color="CCCCCC" w:sz="1"/>
              <w:bottom w:val="single" w:color="CCCCCC" w:sz="1"/>
              <w:right w:val="single" w:color="CCCCCC" w:sz="1"/>
            </w:tcBorders>
            <w:shd w:fill="EEF1F7" w:val="clear"/>
            <w:tcMar>
              <w:top w:type="dxa" w:w="80"/>
              <w:left w:type="dxa" w:w="40"/>
              <w:bottom w:type="dxa" w:w="80"/>
              <w:right w:type="dxa" w:w="40"/>
            </w:tcMar>
            <w:vAlign w:val="top"/>
          </w:tcPr>
          <w:p>
            <w:pPr>
              <w:spacing w:after="0" w:before="0"/>
              <w:jc w:val="center"/>
            </w:pPr>
            <w:r>
              <w:rPr>
                <w:rFonts w:ascii="Arial" w:cs="Arial" w:eastAsia="Arial" w:hAnsi="Arial"/>
                <w:b/>
                <w:bCs/>
                <w:i w:val="false"/>
                <w:iCs w:val="false"/>
                <w:color w:val="666666"/>
                <w:sz w:val="18"/>
                <w:szCs w:val="18"/>
              </w:rPr>
              <w:t xml:space="preserve">N/A</w:t>
            </w:r>
          </w:p>
        </w:tc>
        <w:tc>
          <w:tcPr>
            <w:tcW w:type="dxa" w:w="354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Not applicable — insurance operations only.</w:t>
            </w:r>
          </w:p>
        </w:tc>
      </w:tr>
      <w:tr>
        <w:tc>
          <w:tcPr>
            <w:tcW w:type="dxa" w:w="3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TOTAL</w:t>
            </w:r>
          </w:p>
        </w:tc>
        <w:tc>
          <w:tcPr>
            <w:tcW w:type="dxa" w:w="1000"/>
            <w:tcBorders>
              <w:top w:val="single" w:color="CCCCCC" w:sz="1"/>
              <w:left w:val="single" w:color="CCCCCC" w:sz="1"/>
              <w:bottom w:val="single" w:color="CCCCCC" w:sz="1"/>
              <w:right w:val="single" w:color="CCCCCC" w:sz="1"/>
            </w:tcBorders>
            <w:shd w:fill="EEF1F7" w:val="clear"/>
            <w:tcMar>
              <w:top w:type="dxa" w:w="80"/>
              <w:left w:type="dxa" w:w="40"/>
              <w:bottom w:type="dxa" w:w="80"/>
              <w:right w:type="dxa" w:w="40"/>
            </w:tcMar>
            <w:vAlign w:val="top"/>
          </w:tcPr>
          <w:p>
            <w:pPr>
              <w:spacing w:after="0" w:before="0"/>
              <w:jc w:val="center"/>
            </w:pPr>
            <w:r>
              <w:rPr>
                <w:rFonts w:ascii="Arial" w:cs="Arial" w:eastAsia="Arial" w:hAnsi="Arial"/>
                <w:b w:val="false"/>
                <w:bCs w:val="false"/>
                <w:i w:val="false"/>
                <w:iCs w:val="false"/>
                <w:color w:val="1A1A1A"/>
                <w:sz w:val="18"/>
                <w:szCs w:val="18"/>
              </w:rPr>
              <w:t xml:space="preserve">108</w:t>
            </w:r>
          </w:p>
        </w:tc>
        <w:tc>
          <w:tcPr>
            <w:tcW w:type="dxa" w:w="1000"/>
            <w:tcBorders>
              <w:top w:val="single" w:color="CCCCCC" w:sz="1"/>
              <w:left w:val="single" w:color="CCCCCC" w:sz="1"/>
              <w:bottom w:val="single" w:color="CCCCCC" w:sz="1"/>
              <w:right w:val="single" w:color="CCCCCC" w:sz="1"/>
            </w:tcBorders>
            <w:shd w:fill="EEF1F7" w:val="clear"/>
            <w:tcMar>
              <w:top w:type="dxa" w:w="80"/>
              <w:left w:type="dxa" w:w="40"/>
              <w:bottom w:type="dxa" w:w="80"/>
              <w:right w:type="dxa" w:w="40"/>
            </w:tcMar>
            <w:vAlign w:val="top"/>
          </w:tcPr>
          <w:p>
            <w:pPr>
              <w:spacing w:after="0" w:before="0"/>
              <w:jc w:val="center"/>
            </w:pPr>
            <w:r>
              <w:rPr>
                <w:rFonts w:ascii="Arial" w:cs="Arial" w:eastAsia="Arial" w:hAnsi="Arial"/>
                <w:b/>
                <w:bCs/>
                <w:i w:val="false"/>
                <w:iCs w:val="false"/>
                <w:color w:val="1B2A4A"/>
                <w:sz w:val="18"/>
                <w:szCs w:val="18"/>
              </w:rPr>
              <w:t xml:space="preserve">42  (39%)</w:t>
            </w:r>
          </w:p>
        </w:tc>
        <w:tc>
          <w:tcPr>
            <w:tcW w:type="dxa" w:w="1000"/>
            <w:tcBorders>
              <w:top w:val="single" w:color="CCCCCC" w:sz="1"/>
              <w:left w:val="single" w:color="CCCCCC" w:sz="1"/>
              <w:bottom w:val="single" w:color="CCCCCC" w:sz="1"/>
              <w:right w:val="single" w:color="CCCCCC" w:sz="1"/>
            </w:tcBorders>
            <w:shd w:fill="EEF1F7" w:val="clear"/>
            <w:tcMar>
              <w:top w:type="dxa" w:w="80"/>
              <w:left w:type="dxa" w:w="40"/>
              <w:bottom w:type="dxa" w:w="80"/>
              <w:right w:type="dxa" w:w="40"/>
            </w:tcMar>
            <w:vAlign w:val="top"/>
          </w:tcPr>
          <w:p>
            <w:pPr>
              <w:spacing w:after="0" w:before="0"/>
              <w:jc w:val="center"/>
            </w:pPr>
            <w:r>
              <w:rPr>
                <w:rFonts w:ascii="Arial" w:cs="Arial" w:eastAsia="Arial" w:hAnsi="Arial"/>
                <w:b/>
                <w:bCs/>
                <w:i w:val="false"/>
                <w:iCs w:val="false"/>
                <w:color w:val="1B2A4A"/>
                <w:sz w:val="18"/>
                <w:szCs w:val="18"/>
              </w:rPr>
              <w:t xml:space="preserve">Developing</w:t>
            </w:r>
          </w:p>
        </w:tc>
        <w:tc>
          <w:tcPr>
            <w:tcW w:type="dxa" w:w="354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 +10pp from ECC-1 baseline. Target 60% by October 2025.</w:t>
            </w:r>
          </w:p>
        </w:tc>
      </w:tr>
    </w:tbl>
    <w:p>
      <w:pPr>
        <w:spacing w:after="18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186"/>
      </w:tblGrid>
      <w:tr>
        <w:tc>
          <w:tcPr>
            <w:tcW w:type="dxa" w:w="560"/>
            <w:tcBorders>
              <w:top w:val="single" w:color="CCCCCC" w:sz="1"/>
              <w:left w:val="single" w:color="CCCCCC" w:sz="1"/>
              <w:bottom w:val="single" w:color="CCCCCC" w:sz="1"/>
              <w:right w:val="single" w:color="CCCCCC" w:sz="1"/>
            </w:tcBorders>
            <w:shd w:fill="C8A951"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FFFFFF"/>
                <w:sz w:val="20"/>
                <w:szCs w:val="20"/>
              </w:rPr>
              <w:t xml:space="preserve">5</w:t>
            </w:r>
          </w:p>
        </w:tc>
        <w:tc>
          <w:tcPr>
            <w:tcW w:type="dxa" w:w="9186"/>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vAlign w:val="top"/>
          </w:tcPr>
          <w:p>
            <w:pPr>
              <w:spacing w:after="0" w:before="0"/>
              <w:jc w:val="left"/>
            </w:pPr>
            <w:r>
              <w:rPr>
                <w:rFonts w:ascii="Arial" w:cs="Arial" w:eastAsia="Arial" w:hAnsi="Arial"/>
                <w:b/>
                <w:bCs/>
                <w:i w:val="false"/>
                <w:iCs w:val="false"/>
                <w:color w:val="FFFFFF"/>
                <w:sz w:val="20"/>
                <w:szCs w:val="20"/>
              </w:rPr>
              <w:t xml:space="preserve">Key Findings</w:t>
            </w:r>
          </w:p>
        </w:tc>
      </w:tr>
    </w:tbl>
    <w:p>
      <w:pPr>
        <w:spacing w:after="120" w:before="0"/>
      </w:pPr>
      <w:r>
        <w:t xml:space="preserve"> </w:t>
      </w:r>
    </w:p>
    <w:p>
      <w:pPr>
        <w:spacing w:after="100" w:before="0"/>
        <w:jc w:val="left"/>
      </w:pPr>
      <w:r>
        <w:rPr>
          <w:rFonts w:ascii="Arial" w:cs="Arial" w:eastAsia="Arial" w:hAnsi="Arial"/>
          <w:b w:val="false"/>
          <w:bCs w:val="false"/>
          <w:i w:val="false"/>
          <w:iCs w:val="false"/>
          <w:color w:val="1A1A1A"/>
          <w:sz w:val="19"/>
          <w:szCs w:val="19"/>
        </w:rPr>
        <w:t xml:space="preserve">Seven findings were raised in the delta assessment: 4 Critical, 3 High. Four are new gaps introduced by ECC-2:2024 requirements that did not exist in ECC-1:2018. Three are retained from Project 3 with no or partial remediation progress.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200"/>
        <w:gridCol w:w="4146"/>
      </w:tblGrid>
      <w:tr>
        <w:tc>
          <w:tcPr>
            <w:tcW w:type="dxa" w:w="14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Ref</w:t>
            </w:r>
          </w:p>
        </w:tc>
        <w:tc>
          <w:tcPr>
            <w:tcW w:type="dxa" w:w="10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Severity</w:t>
            </w:r>
          </w:p>
        </w:tc>
        <w:tc>
          <w:tcPr>
            <w:tcW w:type="dxa" w:w="32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Finding</w:t>
            </w:r>
          </w:p>
        </w:tc>
        <w:tc>
          <w:tcPr>
            <w:tcW w:type="dxa" w:w="4146"/>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Status</w:t>
            </w:r>
          </w:p>
        </w:tc>
      </w:tr>
      <w:tr>
        <w:tc>
          <w:tcPr>
            <w:tcW w:type="dxa" w:w="14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DG-001</w:t>
            </w:r>
          </w:p>
        </w:tc>
        <w:tc>
          <w:tcPr>
            <w:tcW w:type="dxa" w:w="10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8B1A1A"/>
                <w:sz w:val="18"/>
                <w:szCs w:val="18"/>
              </w:rPr>
              <w:t xml:space="preserve">Critical</w:t>
            </w:r>
          </w:p>
        </w:tc>
        <w:tc>
          <w:tcPr>
            <w:tcW w:type="dxa" w:w="32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 cryptographic controls policy or inventory</w:t>
            </w:r>
          </w:p>
        </w:tc>
        <w:tc>
          <w:tcPr>
            <w:tcW w:type="dxa" w:w="4146"/>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Non-Conformant — New ECC-2:2024 Gap</w:t>
            </w:r>
          </w:p>
        </w:tc>
      </w:tr>
      <w:tr>
        <w:tc>
          <w:tcPr>
            <w:tcW w:type="dxa" w:w="14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DG-002</w:t>
            </w:r>
          </w:p>
        </w:tc>
        <w:tc>
          <w:tcPr>
            <w:tcW w:type="dxa" w:w="10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8B1A1A"/>
                <w:sz w:val="18"/>
                <w:szCs w:val="18"/>
              </w:rPr>
              <w:t xml:space="preserve">Critical</w:t>
            </w:r>
          </w:p>
        </w:tc>
        <w:tc>
          <w:tcPr>
            <w:tcW w:type="dxa" w:w="32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 security clauses in Najm and Shafafiyah contracts</w:t>
            </w:r>
          </w:p>
        </w:tc>
        <w:tc>
          <w:tcPr>
            <w:tcW w:type="dxa" w:w="4146"/>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Non-Conformant — Phase 2 Priority</w:t>
            </w:r>
          </w:p>
        </w:tc>
      </w:tr>
      <w:tr>
        <w:tc>
          <w:tcPr>
            <w:tcW w:type="dxa" w:w="14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RF-001</w:t>
            </w:r>
          </w:p>
        </w:tc>
        <w:tc>
          <w:tcPr>
            <w:tcW w:type="dxa" w:w="10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8B1A1A"/>
                <w:sz w:val="18"/>
                <w:szCs w:val="18"/>
              </w:rPr>
              <w:t xml:space="preserve">Critical</w:t>
            </w:r>
          </w:p>
        </w:tc>
        <w:tc>
          <w:tcPr>
            <w:tcW w:type="dxa" w:w="32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Incident response plan absent — no IRP, no NCA/SAMA notification process</w:t>
            </w:r>
          </w:p>
        </w:tc>
        <w:tc>
          <w:tcPr>
            <w:tcW w:type="dxa" w:w="4146"/>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Non-Conformant — Immediate Action Required</w:t>
            </w:r>
          </w:p>
        </w:tc>
      </w:tr>
      <w:tr>
        <w:tc>
          <w:tcPr>
            <w:tcW w:type="dxa" w:w="14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RF-002</w:t>
            </w:r>
          </w:p>
        </w:tc>
        <w:tc>
          <w:tcPr>
            <w:tcW w:type="dxa" w:w="10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8B1A1A"/>
                <w:sz w:val="18"/>
                <w:szCs w:val="18"/>
              </w:rPr>
              <w:t xml:space="preserve">Critical</w:t>
            </w:r>
          </w:p>
        </w:tc>
        <w:tc>
          <w:tcPr>
            <w:tcW w:type="dxa" w:w="32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 BCP or DRP — on-site tape backup only, no RTO/RPO defined</w:t>
            </w:r>
          </w:p>
        </w:tc>
        <w:tc>
          <w:tcPr>
            <w:tcW w:type="dxa" w:w="4146"/>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Non-Conformant — Phase 3 Priority</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DG-003</w:t>
            </w:r>
          </w:p>
        </w:tc>
        <w:tc>
          <w:tcPr>
            <w:tcW w:type="dxa" w:w="10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B45309"/>
                <w:sz w:val="18"/>
                <w:szCs w:val="18"/>
              </w:rPr>
              <w:t xml:space="preserve">High</w:t>
            </w:r>
          </w:p>
        </w:tc>
        <w:tc>
          <w:tcPr>
            <w:tcW w:type="dxa" w:w="32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Supply chain risk not assessed — Munich Re and Swiss Re</w:t>
            </w:r>
          </w:p>
        </w:tc>
        <w:tc>
          <w:tcPr>
            <w:tcW w:type="dxa" w:w="4146"/>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Non-Conformant — New ECC-2:2024 Gap</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DG-004</w:t>
            </w:r>
          </w:p>
        </w:tc>
        <w:tc>
          <w:tcPr>
            <w:tcW w:type="dxa" w:w="10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B45309"/>
                <w:sz w:val="18"/>
                <w:szCs w:val="18"/>
              </w:rPr>
              <w:t xml:space="preserve">High</w:t>
            </w:r>
          </w:p>
        </w:tc>
        <w:tc>
          <w:tcPr>
            <w:tcW w:type="dxa" w:w="32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 threat intelligence capability</w:t>
            </w:r>
          </w:p>
        </w:tc>
        <w:tc>
          <w:tcPr>
            <w:tcW w:type="dxa" w:w="4146"/>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Non-Conformant — New ECC-2:2024 Gap</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DG-005</w:t>
            </w:r>
          </w:p>
        </w:tc>
        <w:tc>
          <w:tcPr>
            <w:tcW w:type="dxa" w:w="10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B45309"/>
                <w:sz w:val="18"/>
                <w:szCs w:val="18"/>
              </w:rPr>
              <w:t xml:space="preserve">High</w:t>
            </w:r>
          </w:p>
        </w:tc>
        <w:tc>
          <w:tcPr>
            <w:tcW w:type="dxa" w:w="32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 quantum-readiness roadmap</w:t>
            </w:r>
          </w:p>
        </w:tc>
        <w:tc>
          <w:tcPr>
            <w:tcW w:type="dxa" w:w="4146"/>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Non-Conformant — Linked to DG-001</w:t>
            </w:r>
          </w:p>
        </w:tc>
      </w:tr>
    </w:tbl>
    <w:p>
      <w:pPr>
        <w:spacing w:after="18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186"/>
      </w:tblGrid>
      <w:tr>
        <w:tc>
          <w:tcPr>
            <w:tcW w:type="dxa" w:w="560"/>
            <w:tcBorders>
              <w:top w:val="single" w:color="CCCCCC" w:sz="1"/>
              <w:left w:val="single" w:color="CCCCCC" w:sz="1"/>
              <w:bottom w:val="single" w:color="CCCCCC" w:sz="1"/>
              <w:right w:val="single" w:color="CCCCCC" w:sz="1"/>
            </w:tcBorders>
            <w:shd w:fill="C8A951"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FFFFFF"/>
                <w:sz w:val="20"/>
                <w:szCs w:val="20"/>
              </w:rPr>
              <w:t xml:space="preserve">6</w:t>
            </w:r>
          </w:p>
        </w:tc>
        <w:tc>
          <w:tcPr>
            <w:tcW w:type="dxa" w:w="9186"/>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vAlign w:val="top"/>
          </w:tcPr>
          <w:p>
            <w:pPr>
              <w:spacing w:after="0" w:before="0"/>
              <w:jc w:val="left"/>
            </w:pPr>
            <w:r>
              <w:rPr>
                <w:rFonts w:ascii="Arial" w:cs="Arial" w:eastAsia="Arial" w:hAnsi="Arial"/>
                <w:b/>
                <w:bCs/>
                <w:i w:val="false"/>
                <w:iCs w:val="false"/>
                <w:color w:val="FFFFFF"/>
                <w:sz w:val="20"/>
                <w:szCs w:val="20"/>
              </w:rPr>
              <w:t xml:space="preserve">Conformance Trajectory</w:t>
            </w:r>
          </w:p>
        </w:tc>
      </w:tr>
    </w:tbl>
    <w:p>
      <w:pPr>
        <w:spacing w:after="120" w:before="0"/>
      </w:pPr>
      <w:r>
        <w:t xml:space="preserve"> </w:t>
      </w:r>
    </w:p>
    <w:p>
      <w:pPr>
        <w:spacing w:after="100" w:before="0"/>
        <w:jc w:val="left"/>
      </w:pPr>
      <w:r>
        <w:rPr>
          <w:rFonts w:ascii="Arial" w:cs="Arial" w:eastAsia="Arial" w:hAnsi="Arial"/>
          <w:b w:val="false"/>
          <w:bCs w:val="false"/>
          <w:i w:val="false"/>
          <w:iCs w:val="false"/>
          <w:color w:val="1A1A1A"/>
          <w:sz w:val="19"/>
          <w:szCs w:val="19"/>
        </w:rPr>
        <w:t xml:space="preserve">The chart below illustrates the conformance trajectory from the October 2024 baseline to the current position and the October 2025 target: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c>
          <w:tcPr>
            <w:tcW w:type="dxa" w:w="3248"/>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center"/>
            </w:pPr>
            <w:r>
              <w:rPr>
                <w:rFonts w:ascii="Arial" w:cs="Arial" w:eastAsia="Arial" w:hAnsi="Arial"/>
                <w:b/>
                <w:bCs/>
                <w:i w:val="false"/>
                <w:iCs w:val="false"/>
                <w:color w:val="FFFFFF"/>
                <w:sz w:val="18"/>
                <w:szCs w:val="18"/>
              </w:rPr>
              <w:t xml:space="preserve">Oct 2024</w:t>
            </w:r>
          </w:p>
        </w:tc>
        <w:tc>
          <w:tcPr>
            <w:tcW w:type="dxa" w:w="3248"/>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center"/>
            </w:pPr>
            <w:r>
              <w:rPr>
                <w:rFonts w:ascii="Arial" w:cs="Arial" w:eastAsia="Arial" w:hAnsi="Arial"/>
                <w:b/>
                <w:bCs/>
                <w:i w:val="false"/>
                <w:iCs w:val="false"/>
                <w:color w:val="FFFFFF"/>
                <w:sz w:val="18"/>
                <w:szCs w:val="18"/>
              </w:rPr>
              <w:t xml:space="preserve">Apr 2025 (Current)</w:t>
            </w:r>
          </w:p>
        </w:tc>
        <w:tc>
          <w:tcPr>
            <w:tcW w:type="dxa" w:w="325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center"/>
            </w:pPr>
            <w:r>
              <w:rPr>
                <w:rFonts w:ascii="Arial" w:cs="Arial" w:eastAsia="Arial" w:hAnsi="Arial"/>
                <w:b/>
                <w:bCs/>
                <w:i w:val="false"/>
                <w:iCs w:val="false"/>
                <w:color w:val="FFFFFF"/>
                <w:sz w:val="18"/>
                <w:szCs w:val="18"/>
              </w:rPr>
              <w:t xml:space="preserve">Oct 2025 (Target)</w:t>
            </w:r>
          </w:p>
        </w:tc>
      </w:tr>
      <w:tr>
        <w:tc>
          <w:tcPr>
            <w:tcW w:type="dxa" w:w="3248"/>
            <w:tcBorders>
              <w:top w:val="single" w:color="CCCCCC" w:sz="1"/>
              <w:left w:val="single" w:color="CCCCCC" w:sz="1"/>
              <w:bottom w:val="single" w:color="CCCCCC" w:sz="1"/>
              <w:right w:val="single" w:color="CCCCCC" w:sz="1"/>
            </w:tcBorders>
            <w:shd w:fill="FFCDD2" w:val="clear"/>
            <w:tcMar>
              <w:top w:type="dxa" w:w="120"/>
              <w:left w:type="dxa" w:w="80"/>
              <w:bottom w:type="dxa" w:w="120"/>
              <w:right w:type="dxa" w:w="80"/>
            </w:tcMar>
            <w:vAlign w:val="top"/>
          </w:tcPr>
          <w:p>
            <w:pPr>
              <w:spacing w:after="0" w:before="0"/>
              <w:jc w:val="center"/>
            </w:pPr>
            <w:r>
              <w:rPr>
                <w:rFonts w:ascii="Arial" w:cs="Arial" w:eastAsia="Arial" w:hAnsi="Arial"/>
                <w:b/>
                <w:bCs/>
                <w:i w:val="false"/>
                <w:iCs w:val="false"/>
                <w:color w:val="8B1A1A"/>
                <w:sz w:val="32"/>
                <w:szCs w:val="32"/>
              </w:rPr>
              <w:t xml:space="preserve">29%</w:t>
            </w:r>
          </w:p>
          <w:p>
            <w:pPr>
              <w:spacing w:after="0" w:before="0"/>
              <w:jc w:val="center"/>
            </w:pPr>
            <w:r>
              <w:rPr>
                <w:rFonts w:ascii="Arial" w:cs="Arial" w:eastAsia="Arial" w:hAnsi="Arial"/>
                <w:b w:val="false"/>
                <w:bCs w:val="false"/>
                <w:i w:val="false"/>
                <w:iCs w:val="false"/>
                <w:color w:val="666666"/>
                <w:sz w:val="17"/>
                <w:szCs w:val="17"/>
              </w:rPr>
              <w:t xml:space="preserve">ECC-1:2018 Baseline</w:t>
            </w:r>
          </w:p>
          <w:p>
            <w:pPr>
              <w:spacing w:after="0" w:before="0"/>
              <w:jc w:val="center"/>
            </w:pPr>
            <w:r>
              <w:rPr>
                <w:rFonts w:ascii="Arial" w:cs="Arial" w:eastAsia="Arial" w:hAnsi="Arial"/>
                <w:b w:val="false"/>
                <w:bCs w:val="false"/>
                <w:i w:val="false"/>
                <w:iCs w:val="false"/>
                <w:color w:val="8B1A1A"/>
                <w:sz w:val="17"/>
                <w:szCs w:val="17"/>
              </w:rPr>
              <w:t xml:space="preserve">5 Critical  |  5 High</w:t>
            </w:r>
          </w:p>
        </w:tc>
        <w:tc>
          <w:tcPr>
            <w:tcW w:type="dxa" w:w="3248"/>
            <w:tcBorders>
              <w:top w:val="single" w:color="CCCCCC" w:sz="1"/>
              <w:left w:val="single" w:color="CCCCCC" w:sz="1"/>
              <w:bottom w:val="single" w:color="CCCCCC" w:sz="1"/>
              <w:right w:val="single" w:color="CCCCCC" w:sz="1"/>
            </w:tcBorders>
            <w:shd w:fill="FFF9C4" w:val="clear"/>
            <w:tcMar>
              <w:top w:type="dxa" w:w="120"/>
              <w:left w:type="dxa" w:w="80"/>
              <w:bottom w:type="dxa" w:w="120"/>
              <w:right w:type="dxa" w:w="80"/>
            </w:tcMar>
            <w:vAlign w:val="top"/>
          </w:tcPr>
          <w:p>
            <w:pPr>
              <w:spacing w:after="0" w:before="0"/>
              <w:jc w:val="center"/>
            </w:pPr>
            <w:r>
              <w:rPr>
                <w:rFonts w:ascii="Arial" w:cs="Arial" w:eastAsia="Arial" w:hAnsi="Arial"/>
                <w:b/>
                <w:bCs/>
                <w:i w:val="false"/>
                <w:iCs w:val="false"/>
                <w:color w:val="B45309"/>
                <w:sz w:val="32"/>
                <w:szCs w:val="32"/>
              </w:rPr>
              <w:t xml:space="preserve">39%</w:t>
            </w:r>
          </w:p>
          <w:p>
            <w:pPr>
              <w:spacing w:after="0" w:before="0"/>
              <w:jc w:val="center"/>
            </w:pPr>
            <w:r>
              <w:rPr>
                <w:rFonts w:ascii="Arial" w:cs="Arial" w:eastAsia="Arial" w:hAnsi="Arial"/>
                <w:b w:val="false"/>
                <w:bCs w:val="false"/>
                <w:i w:val="false"/>
                <w:iCs w:val="false"/>
                <w:color w:val="666666"/>
                <w:sz w:val="17"/>
                <w:szCs w:val="17"/>
              </w:rPr>
              <w:t xml:space="preserve">ECC-2:2024 Current</w:t>
            </w:r>
          </w:p>
          <w:p>
            <w:pPr>
              <w:spacing w:after="0" w:before="0"/>
              <w:jc w:val="center"/>
            </w:pPr>
            <w:r>
              <w:rPr>
                <w:rFonts w:ascii="Arial" w:cs="Arial" w:eastAsia="Arial" w:hAnsi="Arial"/>
                <w:b w:val="false"/>
                <w:bCs w:val="false"/>
                <w:i w:val="false"/>
                <w:iCs w:val="false"/>
                <w:color w:val="B45309"/>
                <w:sz w:val="17"/>
                <w:szCs w:val="17"/>
              </w:rPr>
              <w:t xml:space="preserve">3 Critical  |  4 High</w:t>
            </w:r>
          </w:p>
        </w:tc>
        <w:tc>
          <w:tcPr>
            <w:tcW w:type="dxa" w:w="3250"/>
            <w:tcBorders>
              <w:top w:val="single" w:color="CCCCCC" w:sz="1"/>
              <w:left w:val="single" w:color="CCCCCC" w:sz="1"/>
              <w:bottom w:val="single" w:color="CCCCCC" w:sz="1"/>
              <w:right w:val="single" w:color="CCCCCC" w:sz="1"/>
            </w:tcBorders>
            <w:shd w:fill="C8E6C9" w:val="clear"/>
            <w:tcMar>
              <w:top w:type="dxa" w:w="120"/>
              <w:left w:type="dxa" w:w="80"/>
              <w:bottom w:type="dxa" w:w="120"/>
              <w:right w:type="dxa" w:w="80"/>
            </w:tcMar>
            <w:vAlign w:val="top"/>
          </w:tcPr>
          <w:p>
            <w:pPr>
              <w:spacing w:after="0" w:before="0"/>
              <w:jc w:val="center"/>
            </w:pPr>
            <w:r>
              <w:rPr>
                <w:rFonts w:ascii="Arial" w:cs="Arial" w:eastAsia="Arial" w:hAnsi="Arial"/>
                <w:b/>
                <w:bCs/>
                <w:i w:val="false"/>
                <w:iCs w:val="false"/>
                <w:color w:val="1E6B3C"/>
                <w:sz w:val="32"/>
                <w:szCs w:val="32"/>
              </w:rPr>
              <w:t xml:space="preserve">60%+</w:t>
            </w:r>
          </w:p>
          <w:p>
            <w:pPr>
              <w:spacing w:after="0" w:before="0"/>
              <w:jc w:val="center"/>
            </w:pPr>
            <w:r>
              <w:rPr>
                <w:rFonts w:ascii="Arial" w:cs="Arial" w:eastAsia="Arial" w:hAnsi="Arial"/>
                <w:b w:val="false"/>
                <w:bCs w:val="false"/>
                <w:i w:val="false"/>
                <w:iCs w:val="false"/>
                <w:color w:val="666666"/>
                <w:sz w:val="17"/>
                <w:szCs w:val="17"/>
              </w:rPr>
              <w:t xml:space="preserve">ECC-2:2024 Target</w:t>
            </w:r>
          </w:p>
          <w:p>
            <w:pPr>
              <w:spacing w:after="0" w:before="0"/>
              <w:jc w:val="center"/>
            </w:pPr>
            <w:r>
              <w:rPr>
                <w:rFonts w:ascii="Arial" w:cs="Arial" w:eastAsia="Arial" w:hAnsi="Arial"/>
                <w:b w:val="false"/>
                <w:bCs w:val="false"/>
                <w:i w:val="false"/>
                <w:iCs w:val="false"/>
                <w:color w:val="1E6B3C"/>
                <w:sz w:val="17"/>
                <w:szCs w:val="17"/>
              </w:rPr>
              <w:t xml:space="preserve">Certification-ready posture</w:t>
            </w:r>
          </w:p>
        </w:tc>
      </w:tr>
    </w:tbl>
    <w:p>
      <w:pPr>
        <w:spacing w:after="120" w:before="0"/>
      </w:pPr>
      <w:r>
        <w:t xml:space="preserve"> </w:t>
      </w:r>
    </w:p>
    <w:p>
      <w:pPr>
        <w:spacing w:after="80" w:before="0"/>
        <w:jc w:val="left"/>
      </w:pPr>
      <w:r>
        <w:rPr>
          <w:rFonts w:ascii="Arial" w:cs="Arial" w:eastAsia="Arial" w:hAnsi="Arial"/>
          <w:b w:val="false"/>
          <w:bCs w:val="false"/>
          <w:i w:val="false"/>
          <w:iCs w:val="false"/>
          <w:color w:val="1A1A1A"/>
          <w:sz w:val="19"/>
          <w:szCs w:val="19"/>
        </w:rPr>
        <w:t xml:space="preserve">The 60% target is achievable if Phase 2 and Phase 3 CAP actions are executed on schedule and the five new ECC-2:2024 delta gap actions (CA-031 to CA-035) are completed by July 2025. A follow-up progress review is recommended for September 2025.</w:t>
      </w:r>
    </w:p>
    <w:p>
      <w:pPr>
        <w:spacing w:after="18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186"/>
      </w:tblGrid>
      <w:tr>
        <w:tc>
          <w:tcPr>
            <w:tcW w:type="dxa" w:w="560"/>
            <w:tcBorders>
              <w:top w:val="single" w:color="CCCCCC" w:sz="1"/>
              <w:left w:val="single" w:color="CCCCCC" w:sz="1"/>
              <w:bottom w:val="single" w:color="CCCCCC" w:sz="1"/>
              <w:right w:val="single" w:color="CCCCCC" w:sz="1"/>
            </w:tcBorders>
            <w:shd w:fill="C8A951"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FFFFFF"/>
                <w:sz w:val="20"/>
                <w:szCs w:val="20"/>
              </w:rPr>
              <w:t xml:space="preserve">7</w:t>
            </w:r>
          </w:p>
        </w:tc>
        <w:tc>
          <w:tcPr>
            <w:tcW w:type="dxa" w:w="9186"/>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vAlign w:val="top"/>
          </w:tcPr>
          <w:p>
            <w:pPr>
              <w:spacing w:after="0" w:before="0"/>
              <w:jc w:val="left"/>
            </w:pPr>
            <w:r>
              <w:rPr>
                <w:rFonts w:ascii="Arial" w:cs="Arial" w:eastAsia="Arial" w:hAnsi="Arial"/>
                <w:b/>
                <w:bCs/>
                <w:i w:val="false"/>
                <w:iCs w:val="false"/>
                <w:color w:val="FFFFFF"/>
                <w:sz w:val="20"/>
                <w:szCs w:val="20"/>
              </w:rPr>
              <w:t xml:space="preserve">Priority Actions for Board Attention</w:t>
            </w:r>
          </w:p>
        </w:tc>
      </w:tr>
    </w:tbl>
    <w:p>
      <w:pPr>
        <w:spacing w:after="120" w:before="0"/>
      </w:pPr>
      <w:r>
        <w:t xml:space="preserve"> </w:t>
      </w:r>
    </w:p>
    <w:p>
      <w:pPr>
        <w:spacing w:after="100" w:before="0"/>
        <w:jc w:val="left"/>
      </w:pPr>
      <w:r>
        <w:rPr>
          <w:rFonts w:ascii="Arial" w:cs="Arial" w:eastAsia="Arial" w:hAnsi="Arial"/>
          <w:b w:val="false"/>
          <w:bCs w:val="false"/>
          <w:i w:val="false"/>
          <w:iCs w:val="false"/>
          <w:color w:val="1A1A1A"/>
          <w:sz w:val="19"/>
          <w:szCs w:val="19"/>
        </w:rPr>
        <w:t xml:space="preserve">The following seven actions require Board-level awareness and oversight. The first three are matters of immediate priority: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3400"/>
        <w:gridCol w:w="1200"/>
        <w:gridCol w:w="3346"/>
      </w:tblGrid>
      <w:tr>
        <w:tc>
          <w:tcPr>
            <w:tcW w:type="dxa" w:w="10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Priority</w:t>
            </w:r>
          </w:p>
        </w:tc>
        <w:tc>
          <w:tcPr>
            <w:tcW w:type="dxa" w:w="8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Ref</w:t>
            </w:r>
          </w:p>
        </w:tc>
        <w:tc>
          <w:tcPr>
            <w:tcW w:type="dxa" w:w="34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Target</w:t>
            </w:r>
          </w:p>
        </w:tc>
        <w:tc>
          <w:tcPr>
            <w:tcW w:type="dxa" w:w="3346"/>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Finding</w:t>
            </w:r>
          </w:p>
        </w:tc>
      </w:tr>
      <w:tr>
        <w:tc>
          <w:tcPr>
            <w:tcW w:type="dxa" w:w="10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8B1A1A"/>
                <w:sz w:val="17"/>
                <w:szCs w:val="17"/>
              </w:rPr>
              <w:t xml:space="preserve">1 — CRITICAL</w:t>
            </w:r>
          </w:p>
        </w:tc>
        <w:tc>
          <w:tcPr>
            <w:tcW w:type="dxa" w:w="8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7"/>
                <w:szCs w:val="17"/>
              </w:rPr>
              <w:t xml:space="preserve">CA-014</w:t>
            </w:r>
          </w:p>
        </w:tc>
        <w:tc>
          <w:tcPr>
            <w:tcW w:type="dxa" w:w="34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7"/>
                <w:szCs w:val="17"/>
              </w:rPr>
              <w:t xml:space="preserve">Draft, approve, and test cybersecurity Incident Response Plan including NCA and SAMA notification procedures</w:t>
            </w:r>
          </w:p>
        </w:tc>
        <w:tc>
          <w:tcPr>
            <w:tcW w:type="dxa" w:w="12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7"/>
                <w:szCs w:val="17"/>
              </w:rPr>
              <w:t xml:space="preserve">30 Jun 2025</w:t>
            </w:r>
          </w:p>
        </w:tc>
        <w:tc>
          <w:tcPr>
            <w:tcW w:type="dxa" w:w="3346"/>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7"/>
                <w:szCs w:val="17"/>
              </w:rPr>
              <w:t xml:space="preserve">RF-001</w:t>
            </w:r>
          </w:p>
        </w:tc>
      </w:tr>
      <w:tr>
        <w:tc>
          <w:tcPr>
            <w:tcW w:type="dxa" w:w="10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8B1A1A"/>
                <w:sz w:val="17"/>
                <w:szCs w:val="17"/>
              </w:rPr>
              <w:t xml:space="preserve">2 — CRITICAL</w:t>
            </w:r>
          </w:p>
        </w:tc>
        <w:tc>
          <w:tcPr>
            <w:tcW w:type="dxa" w:w="8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7"/>
                <w:szCs w:val="17"/>
              </w:rPr>
              <w:t xml:space="preserve">CA-032</w:t>
            </w:r>
          </w:p>
        </w:tc>
        <w:tc>
          <w:tcPr>
            <w:tcW w:type="dxa" w:w="34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7"/>
                <w:szCs w:val="17"/>
              </w:rPr>
              <w:t xml:space="preserve">Execute cybersecurity addenda with Najm and Shafafiyah — security obligations, right-to-audit, incident notification</w:t>
            </w:r>
          </w:p>
        </w:tc>
        <w:tc>
          <w:tcPr>
            <w:tcW w:type="dxa" w:w="12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7"/>
                <w:szCs w:val="17"/>
              </w:rPr>
              <w:t xml:space="preserve">30 Jun 2025</w:t>
            </w:r>
          </w:p>
        </w:tc>
        <w:tc>
          <w:tcPr>
            <w:tcW w:type="dxa" w:w="3346"/>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7"/>
                <w:szCs w:val="17"/>
              </w:rPr>
              <w:t xml:space="preserve">DG-002</w:t>
            </w:r>
          </w:p>
        </w:tc>
      </w:tr>
      <w:tr>
        <w:tc>
          <w:tcPr>
            <w:tcW w:type="dxa" w:w="10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B45309"/>
                <w:sz w:val="17"/>
                <w:szCs w:val="17"/>
              </w:rPr>
              <w:t xml:space="preserve">3 — HIGH</w:t>
            </w:r>
          </w:p>
        </w:tc>
        <w:tc>
          <w:tcPr>
            <w:tcW w:type="dxa" w:w="8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7"/>
                <w:szCs w:val="17"/>
              </w:rPr>
              <w:t xml:space="preserve">CA-031</w:t>
            </w:r>
          </w:p>
        </w:tc>
        <w:tc>
          <w:tcPr>
            <w:tcW w:type="dxa" w:w="34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7"/>
                <w:szCs w:val="17"/>
              </w:rPr>
              <w:t xml:space="preserve">Establish cryptographic controls policy and conduct cryptographic asset discovery across all critical systems</w:t>
            </w:r>
          </w:p>
        </w:tc>
        <w:tc>
          <w:tcPr>
            <w:tcW w:type="dxa" w:w="12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7"/>
                <w:szCs w:val="17"/>
              </w:rPr>
              <w:t xml:space="preserve">31 May 2025</w:t>
            </w:r>
          </w:p>
        </w:tc>
        <w:tc>
          <w:tcPr>
            <w:tcW w:type="dxa" w:w="3346"/>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7"/>
                <w:szCs w:val="17"/>
              </w:rPr>
              <w:t xml:space="preserve">DG-001</w:t>
            </w:r>
          </w:p>
        </w:tc>
      </w:tr>
      <w:tr>
        <w:tc>
          <w:tcPr>
            <w:tcW w:type="dxa" w:w="10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B45309"/>
                <w:sz w:val="17"/>
                <w:szCs w:val="17"/>
              </w:rPr>
              <w:t xml:space="preserve">4 — HIGH</w:t>
            </w:r>
          </w:p>
        </w:tc>
        <w:tc>
          <w:tcPr>
            <w:tcW w:type="dxa" w:w="8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7"/>
                <w:szCs w:val="17"/>
              </w:rPr>
              <w:t xml:space="preserve">CA-013</w:t>
            </w:r>
          </w:p>
        </w:tc>
        <w:tc>
          <w:tcPr>
            <w:tcW w:type="dxa" w:w="34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7"/>
                <w:szCs w:val="17"/>
              </w:rPr>
              <w:t xml:space="preserve">Complete Tenable.io deployment; conduct first vulnerability scan; establish Critical/High patching SLA</w:t>
            </w:r>
          </w:p>
        </w:tc>
        <w:tc>
          <w:tcPr>
            <w:tcW w:type="dxa" w:w="12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7"/>
                <w:szCs w:val="17"/>
              </w:rPr>
              <w:t xml:space="preserve">30 Apr 2025</w:t>
            </w:r>
          </w:p>
        </w:tc>
        <w:tc>
          <w:tcPr>
            <w:tcW w:type="dxa" w:w="3346"/>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7"/>
                <w:szCs w:val="17"/>
              </w:rPr>
              <w:t xml:space="preserve">F-008</w:t>
            </w:r>
          </w:p>
        </w:tc>
      </w:tr>
      <w:tr>
        <w:tc>
          <w:tcPr>
            <w:tcW w:type="dxa" w:w="10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B45309"/>
                <w:sz w:val="17"/>
                <w:szCs w:val="17"/>
              </w:rPr>
              <w:t xml:space="preserve">5 — HIGH</w:t>
            </w:r>
          </w:p>
        </w:tc>
        <w:tc>
          <w:tcPr>
            <w:tcW w:type="dxa" w:w="8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7"/>
                <w:szCs w:val="17"/>
              </w:rPr>
              <w:t xml:space="preserve">CA-019</w:t>
            </w:r>
          </w:p>
        </w:tc>
        <w:tc>
          <w:tcPr>
            <w:tcW w:type="dxa" w:w="34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7"/>
                <w:szCs w:val="17"/>
              </w:rPr>
              <w:t xml:space="preserve">Implement off-site backup for Oracle Insurance and Guidewire; define RTO/RPO targets</w:t>
            </w:r>
          </w:p>
        </w:tc>
        <w:tc>
          <w:tcPr>
            <w:tcW w:type="dxa" w:w="12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7"/>
                <w:szCs w:val="17"/>
              </w:rPr>
              <w:t xml:space="preserve">31 May 2025</w:t>
            </w:r>
          </w:p>
        </w:tc>
        <w:tc>
          <w:tcPr>
            <w:tcW w:type="dxa" w:w="3346"/>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7"/>
                <w:szCs w:val="17"/>
              </w:rPr>
              <w:t xml:space="preserve">RF-002</w:t>
            </w:r>
          </w:p>
        </w:tc>
      </w:tr>
      <w:tr>
        <w:tc>
          <w:tcPr>
            <w:tcW w:type="dxa" w:w="10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B45309"/>
                <w:sz w:val="17"/>
                <w:szCs w:val="17"/>
              </w:rPr>
              <w:t xml:space="preserve">6 — HIGH</w:t>
            </w:r>
          </w:p>
        </w:tc>
        <w:tc>
          <w:tcPr>
            <w:tcW w:type="dxa" w:w="8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7"/>
                <w:szCs w:val="17"/>
              </w:rPr>
              <w:t xml:space="preserve">CA-034</w:t>
            </w:r>
          </w:p>
        </w:tc>
        <w:tc>
          <w:tcPr>
            <w:tcW w:type="dxa" w:w="34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7"/>
                <w:szCs w:val="17"/>
              </w:rPr>
              <w:t xml:space="preserve">Subscribe to NCA threat intelligence feeds; assign IT Security Manager as owner</w:t>
            </w:r>
          </w:p>
        </w:tc>
        <w:tc>
          <w:tcPr>
            <w:tcW w:type="dxa" w:w="12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7"/>
                <w:szCs w:val="17"/>
              </w:rPr>
              <w:t xml:space="preserve">31 May 2025</w:t>
            </w:r>
          </w:p>
        </w:tc>
        <w:tc>
          <w:tcPr>
            <w:tcW w:type="dxa" w:w="3346"/>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7"/>
                <w:szCs w:val="17"/>
              </w:rPr>
              <w:t xml:space="preserve">DG-004</w:t>
            </w:r>
          </w:p>
        </w:tc>
      </w:tr>
      <w:tr>
        <w:tc>
          <w:tcPr>
            <w:tcW w:type="dxa" w:w="10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B45309"/>
                <w:sz w:val="17"/>
                <w:szCs w:val="17"/>
              </w:rPr>
              <w:t xml:space="preserve">7 — HIGH</w:t>
            </w:r>
          </w:p>
        </w:tc>
        <w:tc>
          <w:tcPr>
            <w:tcW w:type="dxa" w:w="8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7"/>
                <w:szCs w:val="17"/>
              </w:rPr>
              <w:t xml:space="preserve">CA-033</w:t>
            </w:r>
          </w:p>
        </w:tc>
        <w:tc>
          <w:tcPr>
            <w:tcW w:type="dxa" w:w="34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7"/>
                <w:szCs w:val="17"/>
              </w:rPr>
              <w:t xml:space="preserve">Supply chain risk assessment for Munich Re and Swiss Re; include cybersecurity clauses in treaty addenda</w:t>
            </w:r>
          </w:p>
        </w:tc>
        <w:tc>
          <w:tcPr>
            <w:tcW w:type="dxa" w:w="12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7"/>
                <w:szCs w:val="17"/>
              </w:rPr>
              <w:t xml:space="preserve">31 Jul 2025</w:t>
            </w:r>
          </w:p>
        </w:tc>
        <w:tc>
          <w:tcPr>
            <w:tcW w:type="dxa" w:w="3346"/>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7"/>
                <w:szCs w:val="17"/>
              </w:rPr>
              <w:t xml:space="preserve">DG-003</w:t>
            </w:r>
          </w:p>
        </w:tc>
      </w:tr>
    </w:tbl>
    <w:p>
      <w:pPr>
        <w:spacing w:after="18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186"/>
      </w:tblGrid>
      <w:tr>
        <w:tc>
          <w:tcPr>
            <w:tcW w:type="dxa" w:w="560"/>
            <w:tcBorders>
              <w:top w:val="single" w:color="CCCCCC" w:sz="1"/>
              <w:left w:val="single" w:color="CCCCCC" w:sz="1"/>
              <w:bottom w:val="single" w:color="CCCCCC" w:sz="1"/>
              <w:right w:val="single" w:color="CCCCCC" w:sz="1"/>
            </w:tcBorders>
            <w:shd w:fill="C8A951"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FFFFFF"/>
                <w:sz w:val="20"/>
                <w:szCs w:val="20"/>
              </w:rPr>
              <w:t xml:space="preserve">8</w:t>
            </w:r>
          </w:p>
        </w:tc>
        <w:tc>
          <w:tcPr>
            <w:tcW w:type="dxa" w:w="9186"/>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vAlign w:val="top"/>
          </w:tcPr>
          <w:p>
            <w:pPr>
              <w:spacing w:after="0" w:before="0"/>
              <w:jc w:val="left"/>
            </w:pPr>
            <w:r>
              <w:rPr>
                <w:rFonts w:ascii="Arial" w:cs="Arial" w:eastAsia="Arial" w:hAnsi="Arial"/>
                <w:b/>
                <w:bCs/>
                <w:i w:val="false"/>
                <w:iCs w:val="false"/>
                <w:color w:val="FFFFFF"/>
                <w:sz w:val="20"/>
                <w:szCs w:val="20"/>
              </w:rPr>
              <w:t xml:space="preserve">Auditor's Statement</w:t>
            </w:r>
          </w:p>
        </w:tc>
      </w:tr>
    </w:tbl>
    <w:p>
      <w:pPr>
        <w:spacing w:after="120" w:before="0"/>
      </w:pPr>
      <w:r>
        <w:t xml:space="preserve"> </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1B2A4A" w:val="clear"/>
            <w:tcMar>
              <w:top w:type="dxa" w:w="120"/>
              <w:left w:type="dxa" w:w="180"/>
              <w:bottom w:type="dxa" w:w="120"/>
              <w:right w:type="dxa" w:w="180"/>
            </w:tcMar>
            <w:vAlign w:val="top"/>
          </w:tcPr>
          <w:p>
            <w:pPr>
              <w:spacing w:after="80" w:before="0"/>
              <w:jc w:val="center"/>
            </w:pPr>
            <w:r>
              <w:rPr>
                <w:rFonts w:ascii="Arial" w:cs="Arial" w:eastAsia="Arial" w:hAnsi="Arial"/>
                <w:b/>
                <w:bCs/>
                <w:i w:val="false"/>
                <w:iCs w:val="false"/>
                <w:color w:val="C8A951"/>
                <w:sz w:val="19"/>
                <w:szCs w:val="19"/>
              </w:rPr>
              <w:t xml:space="preserve">AUDITOR'S STATEMENT FOR THE BOARD</w:t>
            </w:r>
          </w:p>
          <w:p>
            <w:pPr>
              <w:spacing w:after="100" w:before="0"/>
              <w:jc w:val="left"/>
            </w:pPr>
            <w:r>
              <w:rPr>
                <w:rFonts w:ascii="Arial" w:cs="Arial" w:eastAsia="Arial" w:hAnsi="Arial"/>
                <w:b w:val="false"/>
                <w:bCs w:val="false"/>
                <w:i w:val="false"/>
                <w:iCs w:val="false"/>
                <w:color w:val="FFFFFF"/>
                <w:sz w:val="19"/>
                <w:szCs w:val="19"/>
              </w:rPr>
              <w:t xml:space="preserve">Resolute Compliance Advisory LLP conducted the NCA ECC-2:2024 Delta Assessment of Al Ameen Insurance Company during February and March 2025. This engagement assessed the Client's cybersecurity posture against all 108 controls of the updated NCA Essential Cybersecurity Controls framework and verified remediation progress against the 30 corrective actions issued in October 2024.</w:t>
            </w:r>
          </w:p>
          <w:p>
            <w:pPr>
              <w:spacing w:after="100" w:before="0"/>
              <w:jc w:val="left"/>
            </w:pPr>
            <w:r>
              <w:rPr>
                <w:rFonts w:ascii="Arial" w:cs="Arial" w:eastAsia="Arial" w:hAnsi="Arial"/>
                <w:b w:val="false"/>
                <w:bCs w:val="false"/>
                <w:i w:val="false"/>
                <w:iCs w:val="false"/>
                <w:color w:val="FFFFFF"/>
                <w:sz w:val="19"/>
                <w:szCs w:val="19"/>
              </w:rPr>
              <w:t xml:space="preserve">The Board is advised that Phase 1 remediation has been materially effective. The live Critical risk identified in October 2024 — shared administrator credentials on the Oracle Insurance production system — has been resolved. A cybersecurity policy has been approved by the Board and a dedicated IT Security Manager has been appointed. Overall ECC-2:2024 conformance has improved from 29% (ECC-1 baseline) to 39%.</w:t>
            </w:r>
          </w:p>
          <w:p>
            <w:pPr>
              <w:spacing w:after="100" w:before="0"/>
              <w:jc w:val="left"/>
            </w:pPr>
            <w:r>
              <w:rPr>
                <w:rFonts w:ascii="Arial" w:cs="Arial" w:eastAsia="Arial" w:hAnsi="Arial"/>
                <w:b w:val="false"/>
                <w:bCs w:val="false"/>
                <w:i w:val="false"/>
                <w:iCs w:val="false"/>
                <w:color w:val="FFFFFF"/>
                <w:sz w:val="19"/>
                <w:szCs w:val="19"/>
              </w:rPr>
              <w:t xml:space="preserve">However, significant gaps remain. Al Ameen has no incident response plan, no business continuity or disaster recovery capability, and no cybersecurity obligations in contracts with key regulated counterparties Najm and Shafafiyah. The NCA ECC-2:2024 framework introduces ten new requirements in cryptographic governance, supply chain security, and threat intelligence that are currently unaddressed.</w:t>
            </w:r>
          </w:p>
          <w:p>
            <w:pPr>
              <w:spacing w:after="0" w:before="0"/>
              <w:jc w:val="left"/>
            </w:pPr>
            <w:r>
              <w:rPr>
                <w:rFonts w:ascii="Arial" w:cs="Arial" w:eastAsia="Arial" w:hAnsi="Arial"/>
                <w:b w:val="false"/>
                <w:bCs w:val="false"/>
                <w:i w:val="false"/>
                <w:iCs w:val="false"/>
                <w:color w:val="FFFFFF"/>
                <w:sz w:val="19"/>
                <w:szCs w:val="19"/>
              </w:rPr>
              <w:t xml:space="preserve">The Board is requested to note: (1) the closure of the October 2024 live Critical risk; (2) the seven Phase 1 achievements; (3) the two remaining Critical open findings (RF-001: IRP absent; RF-002: no BCP/DRP) requiring Board-level oversight; and (4) the 60% ECC-2:2024 conformance target for October 2025, which is achievable if Phase 2 and 3 actions are executed on schedule.</w:t>
            </w:r>
          </w:p>
        </w:tc>
      </w:tr>
    </w:tbl>
    <w:p>
      <w:pPr>
        <w:spacing w:after="200" w:before="0"/>
      </w:pPr>
      <w:r>
        <w:t xml:space="preserve"> </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EEF1F7" w:val="clear"/>
            <w:tcMar>
              <w:top w:type="dxa" w:w="120"/>
              <w:left w:type="dxa" w:w="180"/>
              <w:bottom w:type="dxa" w:w="120"/>
              <w:right w:type="dxa" w:w="180"/>
            </w:tcMar>
            <w:vAlign w:val="top"/>
          </w:tcPr>
          <w:p>
            <w:pPr>
              <w:spacing w:after="0" w:before="0"/>
              <w:jc w:val="center"/>
            </w:pPr>
            <w:r>
              <w:rPr>
                <w:rFonts w:ascii="Arial" w:cs="Arial" w:eastAsia="Arial" w:hAnsi="Arial"/>
                <w:b w:val="false"/>
                <w:bCs w:val="false"/>
                <w:i/>
                <w:iCs/>
                <w:color w:val="666666"/>
                <w:sz w:val="17"/>
                <w:szCs w:val="17"/>
              </w:rPr>
              <w:t xml:space="preserve">This Executive Summary is issued by Resolute Compliance Advisory LLP under engagement RCA-P3C. For the full findings, refer to RCA-P3C-003 (Delta Assessment Findings Report) and RCA-P3C-004 (Updated Risk Register). Queries should be directed to kay Shahbaaz, GRC Auditor.</w:t>
            </w:r>
          </w:p>
        </w:tc>
      </w:tr>
    </w:tbl>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tabs>
        <w:tab w:val="right" w:pos="9746"/>
      </w:tabs>
      <w:spacing w:before="80"/>
    </w:pPr>
    <w:r>
      <w:rPr>
        <w:rFonts w:ascii="Arial" w:cs="Arial" w:eastAsia="Arial" w:hAnsi="Arial"/>
        <w:b w:val="false"/>
        <w:bCs w:val="false"/>
        <w:i w:val="false"/>
        <w:iCs w:val="false"/>
        <w:color w:val="666666"/>
        <w:sz w:val="16"/>
        <w:szCs w:val="16"/>
      </w:rPr>
      <w:t xml:space="preserve">Resolute Compliance Advisory LLP  ·  RCA-P3C-005  ·  v1.0  ·  CONFIDENTIAL</w:t>
    </w:r>
    <w:r>
      <w:rPr>
        <w:rFonts w:ascii="Arial" w:cs="Arial" w:eastAsia="Arial" w:hAnsi="Arial"/>
        <w:sz w:val="16"/>
        <w:szCs w:val="16"/>
      </w:rPr>
      <w:t xml:space="preserve">	</w:t>
    </w:r>
    <w:r>
      <w:rPr>
        <w:rFonts w:ascii="Arial" w:cs="Arial" w:eastAsia="Arial" w:hAnsi="Arial"/>
        <w:b w:val="false"/>
        <w:bCs w:val="false"/>
        <w:i w:val="false"/>
        <w:iCs w:val="false"/>
        <w:color w:val="666666"/>
        <w:sz w:val="16"/>
        <w:szCs w:val="16"/>
      </w:rPr>
      <w:t xml:space="preserve">Page </w:t>
    </w:r>
    <w:fldSimple w:instr="PAGE">
      <w:r>
        <w:rPr>
          <w:rFonts w:ascii="Arial" w:cs="Arial" w:eastAsia="Arial" w:hAnsi="Arial"/>
          <w:color w:val="666666"/>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single" w:color="1B2A4A" w:sz="8"/>
        <w:right w:val="none" w:color="FFFFFF" w:sz="0"/>
        <w:insideH w:val="single" w:color="auto" w:sz="4"/>
        <w:insideV w:val="single" w:color="auto" w:sz="4"/>
      </w:tblBorders>
    </w:tblPr>
    <w:tblGrid>
      <w:gridCol w:w="6946"/>
      <w:gridCol w:w="2800"/>
    </w:tblGrid>
    <w:tr>
      <w:tc>
        <w:tcPr>
          <w:tcW w:type="dxa" w:w="694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22"/>
              <w:szCs w:val="22"/>
            </w:rPr>
            <w:t xml:space="preserve">RESOLUTE</w:t>
          </w:r>
          <w:r>
            <w:rPr>
              <w:rFonts w:ascii="Arial" w:cs="Arial" w:eastAsia="Arial" w:hAnsi="Arial"/>
              <w:b w:val="false"/>
              <w:bCs w:val="false"/>
              <w:i w:val="false"/>
              <w:iCs w:val="false"/>
              <w:color w:val="1B2A4A"/>
              <w:sz w:val="16"/>
              <w:szCs w:val="16"/>
            </w:rPr>
            <w:t xml:space="preserve"> COMPLIANCE ADVISORY LLP</w:t>
          </w:r>
        </w:p>
        <w:p>
          <w:pPr>
            <w:spacing w:after="0" w:before="0"/>
            <w:jc w:val="left"/>
          </w:pPr>
          <w:r>
            <w:rPr>
              <w:rFonts w:ascii="Arial" w:cs="Arial" w:eastAsia="Arial" w:hAnsi="Arial"/>
              <w:b w:val="false"/>
              <w:bCs w:val="false"/>
              <w:i/>
              <w:iCs/>
              <w:color w:val="666666"/>
              <w:sz w:val="16"/>
              <w:szCs w:val="16"/>
            </w:rPr>
            <w:t xml:space="preserve">Governance · Risk · Compliance</w:t>
          </w:r>
        </w:p>
      </w:tc>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before="0"/>
            <w:jc w:val="right"/>
          </w:pPr>
          <w:r>
            <w:rPr>
              <w:rFonts w:ascii="Arial" w:cs="Arial" w:eastAsia="Arial" w:hAnsi="Arial"/>
              <w:b/>
              <w:bCs/>
              <w:i w:val="false"/>
              <w:iCs w:val="false"/>
              <w:color w:val="C8A951"/>
              <w:sz w:val="16"/>
              <w:szCs w:val="16"/>
            </w:rPr>
            <w:t xml:space="preserve">CONFIDENTIAL</w:t>
          </w:r>
        </w:p>
        <w:p>
          <w:pPr>
            <w:spacing w:after="0" w:before="0"/>
            <w:jc w:val="right"/>
          </w:pPr>
          <w:r>
            <w:rPr>
              <w:rFonts w:ascii="Arial" w:cs="Arial" w:eastAsia="Arial" w:hAnsi="Arial"/>
              <w:b w:val="false"/>
              <w:bCs w:val="false"/>
              <w:i w:val="false"/>
              <w:iCs w:val="false"/>
              <w:color w:val="666666"/>
              <w:sz w:val="16"/>
              <w:szCs w:val="16"/>
            </w:rPr>
            <w:t xml:space="preserve">RCA-P3C-005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2026-06-27T01:42:26.142Z</dcterms:created>
  <dcterms:modified xsi:type="dcterms:W3CDTF">2026-06-27T01:42:26.142Z</dcterms:modified>
</cp:coreProperties>
</file>

<file path=docProps/custom.xml><?xml version="1.0" encoding="utf-8"?>
<Properties xmlns="http://schemas.openxmlformats.org/officeDocument/2006/custom-properties" xmlns:vt="http://schemas.openxmlformats.org/officeDocument/2006/docPropsVTypes"/>
</file>