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top"/>
          </w:tcPr>
          <w:p>
            <w:pPr>
              <w:spacing w:after="20" w:before="80"/>
              <w:jc w:val="left"/>
            </w:pPr>
            <w:r>
              <w:rPr>
                <w:rFonts w:ascii="Arial" w:cs="Arial" w:eastAsia="Arial" w:hAnsi="Arial"/>
                <w:b/>
                <w:bCs/>
                <w:i w:val="false"/>
                <w:iCs w:val="false"/>
                <w:color w:val="FFFFFF"/>
                <w:sz w:val="32"/>
                <w:szCs w:val="32"/>
              </w:rPr>
              <w:t xml:space="preserve">RESOLUTE</w:t>
            </w:r>
            <w:r>
              <w:rPr>
                <w:rFonts w:ascii="Arial" w:cs="Arial" w:eastAsia="Arial" w:hAnsi="Arial"/>
                <w:b w:val="false"/>
                <w:bCs w:val="false"/>
                <w:i w:val="false"/>
                <w:iCs w:val="false"/>
                <w:color w:val="C8A951"/>
                <w:sz w:val="20"/>
                <w:szCs w:val="20"/>
              </w:rPr>
              <w:t xml:space="preserve">  COMPLIANCE ADVISORY  LLP</w:t>
            </w:r>
          </w:p>
          <w:p>
            <w:pPr>
              <w:spacing w:after="80" w:before="0"/>
              <w:jc w:val="left"/>
            </w:pPr>
            <w:r>
              <w:rPr>
                <w:rFonts w:ascii="Arial" w:cs="Arial" w:eastAsia="Arial" w:hAnsi="Arial"/>
                <w:b w:val="false"/>
                <w:bCs w:val="false"/>
                <w:i/>
                <w:iCs/>
                <w:color w:val="EEF1F7"/>
                <w:sz w:val="16"/>
                <w:szCs w:val="16"/>
              </w:rPr>
              <w:t xml:space="preserve">Governance  ·  Risk  ·  Compliance</w:t>
            </w:r>
          </w:p>
        </w:tc>
      </w:tr>
    </w:tbl>
    <w:p>
      <w:pPr>
        <w:spacing w:after="60" w:before="60"/>
      </w:pPr>
      <w:r>
        <w:rPr>
          <w:rFonts w:ascii="Arial" w:cs="Arial" w:eastAsia="Arial" w:hAnsi="Arial"/>
          <w:b w:val="false"/>
          <w:bCs w:val="false"/>
          <w:i w:val="false"/>
          <w:iCs w:val="false"/>
          <w:color w:val="1A1A1A"/>
          <w:sz w:val="20"/>
          <w:szCs w:val="20"/>
        </w:rPr>
        <w:t xml:space="preserve"/>
      </w:r>
    </w:p>
    <w:p>
      <w:pPr>
        <w:spacing w:after="10" w:before="40"/>
        <w:jc w:val="center"/>
      </w:pPr>
      <w:r>
        <w:rPr>
          <w:rFonts w:ascii="Arial" w:cs="Arial" w:eastAsia="Arial" w:hAnsi="Arial"/>
          <w:b/>
          <w:bCs/>
          <w:i w:val="false"/>
          <w:iCs w:val="false"/>
          <w:color w:val="1B2A4A"/>
          <w:sz w:val="36"/>
          <w:szCs w:val="36"/>
        </w:rPr>
        <w:t xml:space="preserve">GDPR + DPDP ACT 2023</w:t>
      </w:r>
    </w:p>
    <w:p>
      <w:pPr>
        <w:spacing w:after="10" w:before="0"/>
        <w:jc w:val="center"/>
      </w:pPr>
      <w:r>
        <w:rPr>
          <w:rFonts w:ascii="Arial" w:cs="Arial" w:eastAsia="Arial" w:hAnsi="Arial"/>
          <w:b/>
          <w:bCs/>
          <w:i w:val="false"/>
          <w:iCs w:val="false"/>
          <w:color w:val="C8A951"/>
          <w:sz w:val="28"/>
          <w:szCs w:val="28"/>
        </w:rPr>
        <w:t xml:space="preserve">COMPLIANCE ASSESSMENT REPORT</w:t>
      </w:r>
    </w:p>
    <w:p>
      <w:pPr>
        <w:spacing w:after="80" w:before="0"/>
        <w:jc w:val="center"/>
      </w:pPr>
      <w:r>
        <w:rPr>
          <w:rFonts w:ascii="Arial" w:cs="Arial" w:eastAsia="Arial" w:hAnsi="Arial"/>
          <w:b w:val="false"/>
          <w:bCs w:val="false"/>
          <w:i/>
          <w:iCs/>
          <w:color w:val="666666"/>
          <w:sz w:val="20"/>
          <w:szCs w:val="20"/>
        </w:rPr>
        <w:t xml:space="preserve">Data Protection &amp; Privacy Compliance Review</w:t>
      </w:r>
    </w:p>
    <w:p>
      <w:pPr>
        <w:pBdr>
          <w:bottom w:val="single" w:color="C8A951" w:sz="6" w:space="1"/>
        </w:pBdr>
        <w:spacing w:after="40" w:before="40"/>
      </w:pPr>
      <w:r>
        <w:rPr>
          <w:rFonts w:ascii="Arial" w:cs="Arial" w:eastAsia="Arial" w:hAnsi="Arial"/>
          <w:b w:val="false"/>
          <w:bCs w:val="false"/>
          <w:i w:val="false"/>
          <w:iCs w:val="false"/>
          <w:color w:val="1A1A1A"/>
          <w:sz w:val="20"/>
          <w:szCs w:val="20"/>
        </w:rPr>
        <w:t xml:space="preserve"/>
      </w:r>
    </w:p>
    <w:p>
      <w:pPr>
        <w:spacing w:after="60" w:before="6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8A951" w:sz="6"/>
              <w:left w:val="single" w:color="C8A951" w:sz="6"/>
              <w:bottom w:val="single" w:color="C8A951" w:sz="6"/>
              <w:right w:val="single" w:color="C8A951" w:sz="6"/>
            </w:tcBorders>
            <w:shd w:fill="EEF1F7" w:val="clear"/>
            <w:tcMar>
              <w:top w:type="dxa" w:w="80"/>
              <w:left w:type="dxa" w:w="120"/>
              <w:bottom w:type="dxa" w:w="80"/>
              <w:right w:type="dxa" w:w="120"/>
            </w:tcMar>
            <w:vAlign w:val="top"/>
          </w:tcPr>
          <w:p>
            <w:pPr>
              <w:spacing w:after="20" w:before="80"/>
              <w:jc w:val="left"/>
            </w:pPr>
            <w:r>
              <w:rPr>
                <w:rFonts w:ascii="Arial" w:cs="Arial" w:eastAsia="Arial" w:hAnsi="Arial"/>
                <w:b w:val="false"/>
                <w:bCs w:val="false"/>
                <w:i/>
                <w:iCs/>
                <w:color w:val="666666"/>
                <w:sz w:val="16"/>
                <w:szCs w:val="16"/>
              </w:rPr>
              <w:t xml:space="preserve">Prepared for</w:t>
            </w:r>
          </w:p>
          <w:p>
            <w:pPr>
              <w:spacing w:after="20" w:before="0"/>
              <w:jc w:val="left"/>
            </w:pPr>
            <w:r>
              <w:rPr>
                <w:rFonts w:ascii="Arial" w:cs="Arial" w:eastAsia="Arial" w:hAnsi="Arial"/>
                <w:b/>
                <w:bCs/>
                <w:i w:val="false"/>
                <w:iCs w:val="false"/>
                <w:color w:val="1B2A4A"/>
                <w:sz w:val="24"/>
                <w:szCs w:val="24"/>
              </w:rPr>
              <w:t xml:space="preserve">Medlink India Pvt. Ltd.</w:t>
            </w:r>
          </w:p>
          <w:p>
            <w:pPr>
              <w:spacing w:after="20" w:before="0"/>
              <w:jc w:val="left"/>
            </w:pPr>
            <w:r>
              <w:rPr>
                <w:rFonts w:ascii="Arial" w:cs="Arial" w:eastAsia="Arial" w:hAnsi="Arial"/>
                <w:b w:val="false"/>
                <w:bCs w:val="false"/>
                <w:i w:val="false"/>
                <w:iCs w:val="false"/>
                <w:color w:val="666666"/>
                <w:sz w:val="18"/>
                <w:szCs w:val="18"/>
              </w:rPr>
              <w:t xml:space="preserve">Healthtech  ·  Mumbai, India</w:t>
            </w:r>
          </w:p>
          <w:p>
            <w:pPr>
              <w:spacing w:after="80" w:before="0"/>
              <w:jc w:val="left"/>
            </w:pPr>
            <w:r>
              <w:rPr>
                <w:rFonts w:ascii="Arial" w:cs="Arial" w:eastAsia="Arial" w:hAnsi="Arial"/>
                <w:b w:val="false"/>
                <w:bCs w:val="false"/>
                <w:i w:val="false"/>
                <w:iCs w:val="false"/>
                <w:color w:val="666666"/>
                <w:sz w:val="18"/>
                <w:szCs w:val="18"/>
              </w:rPr>
              <w:t xml:space="preserve">Assessment Period: 15 April 2024 – 30 April 2024</w:t>
            </w:r>
          </w:p>
        </w:tc>
      </w:tr>
    </w:tbl>
    <w:p>
      <w:pPr>
        <w:spacing w:after="80" w:before="8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60"/>
              <w:jc w:val="left"/>
            </w:pPr>
            <w:r>
              <w:rPr>
                <w:rFonts w:ascii="Arial" w:cs="Arial" w:eastAsia="Arial" w:hAnsi="Arial"/>
                <w:b w:val="false"/>
                <w:bCs w:val="false"/>
                <w:i/>
                <w:iCs/>
                <w:color w:val="666666"/>
                <w:sz w:val="14"/>
                <w:szCs w:val="14"/>
              </w:rPr>
              <w:t xml:space="preserve">Prepared by</w:t>
            </w:r>
          </w:p>
          <w:p>
            <w:pPr>
              <w:spacing w:after="10" w:before="0"/>
              <w:jc w:val="left"/>
            </w:pPr>
            <w:r>
              <w:rPr>
                <w:rFonts w:ascii="Arial" w:cs="Arial" w:eastAsia="Arial" w:hAnsi="Arial"/>
                <w:b/>
                <w:bCs/>
                <w:i w:val="false"/>
                <w:iCs w:val="false"/>
                <w:color w:val="1B2A4A"/>
                <w:sz w:val="18"/>
                <w:szCs w:val="18"/>
              </w:rPr>
              <w:t xml:space="preserve">kay Shahbaaz</w:t>
            </w:r>
          </w:p>
          <w:p>
            <w:pPr>
              <w:spacing w:after="60" w:before="0"/>
              <w:jc w:val="left"/>
            </w:pPr>
            <w:r>
              <w:rPr>
                <w:rFonts w:ascii="Arial" w:cs="Arial" w:eastAsia="Arial" w:hAnsi="Arial"/>
                <w:b w:val="false"/>
                <w:bCs w:val="false"/>
                <w:i w:val="false"/>
                <w:iCs w:val="false"/>
                <w:color w:val="666666"/>
                <w:sz w:val="16"/>
                <w:szCs w:val="16"/>
              </w:rPr>
              <w:t xml:space="preserve">GRC Analyst</w:t>
            </w:r>
          </w:p>
        </w:tc>
        <w:tc>
          <w:tcPr>
            <w:tcW w:type="dxa" w:w="487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60"/>
              <w:jc w:val="left"/>
            </w:pPr>
            <w:r>
              <w:rPr>
                <w:rFonts w:ascii="Arial" w:cs="Arial" w:eastAsia="Arial" w:hAnsi="Arial"/>
                <w:b w:val="false"/>
                <w:bCs w:val="false"/>
                <w:i/>
                <w:iCs/>
                <w:color w:val="666666"/>
                <w:sz w:val="14"/>
                <w:szCs w:val="14"/>
              </w:rPr>
              <w:t xml:space="preserve">Document Ref</w:t>
            </w:r>
          </w:p>
          <w:p>
            <w:pPr>
              <w:spacing w:after="10" w:before="0"/>
              <w:jc w:val="left"/>
            </w:pPr>
            <w:r>
              <w:rPr>
                <w:rFonts w:ascii="Arial" w:cs="Arial" w:eastAsia="Arial" w:hAnsi="Arial"/>
                <w:b/>
                <w:bCs/>
                <w:i w:val="false"/>
                <w:iCs w:val="false"/>
                <w:color w:val="1B2A4A"/>
                <w:sz w:val="18"/>
                <w:szCs w:val="18"/>
              </w:rPr>
              <w:t xml:space="preserve">RCA-P2-003</w:t>
            </w:r>
          </w:p>
          <w:p>
            <w:pPr>
              <w:spacing w:after="60" w:before="0"/>
              <w:jc w:val="left"/>
            </w:pPr>
            <w:r>
              <w:rPr>
                <w:rFonts w:ascii="Arial" w:cs="Arial" w:eastAsia="Arial" w:hAnsi="Arial"/>
                <w:b w:val="false"/>
                <w:bCs w:val="false"/>
                <w:i w:val="false"/>
                <w:iCs w:val="false"/>
                <w:color w:val="666666"/>
                <w:sz w:val="16"/>
                <w:szCs w:val="16"/>
              </w:rPr>
              <w:t xml:space="preserve">15 May 2024  ·  v1.0  ·  CONFIDENTIAL</w:t>
            </w:r>
          </w:p>
        </w:tc>
      </w:tr>
    </w:tbl>
    <w:p>
      <w:pPr>
        <w:spacing w:after="80" w:before="8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8"/>
              <w:left w:val="single" w:color="1B2A4A" w:sz="8"/>
              <w:bottom w:val="single" w:color="1B2A4A" w:sz="8"/>
              <w:right w:val="single" w:color="1B2A4A" w:sz="8"/>
            </w:tcBorders>
            <w:shd w:fill="EEF1F7" w:val="clear"/>
            <w:tcMar>
              <w:top w:type="dxa" w:w="80"/>
              <w:left w:type="dxa" w:w="120"/>
              <w:bottom w:type="dxa" w:w="80"/>
              <w:right w:type="dxa" w:w="120"/>
            </w:tcMar>
            <w:vAlign w:val="top"/>
          </w:tcPr>
          <w:p>
            <w:pPr>
              <w:spacing w:after="20" w:before="60"/>
              <w:jc w:val="center"/>
            </w:pPr>
            <w:r>
              <w:rPr>
                <w:rFonts w:ascii="Arial" w:cs="Arial" w:eastAsia="Arial" w:hAnsi="Arial"/>
                <w:b/>
                <w:bCs/>
                <w:i w:val="false"/>
                <w:iCs w:val="false"/>
                <w:color w:val="1B2A4A"/>
                <w:sz w:val="17"/>
                <w:szCs w:val="17"/>
              </w:rPr>
              <w:t xml:space="preserve">CONFIDENTIALITY NOTICE</w:t>
            </w:r>
          </w:p>
          <w:p>
            <w:pPr>
              <w:spacing w:after="60" w:before="0"/>
              <w:jc w:val="left"/>
            </w:pPr>
            <w:r>
              <w:rPr>
                <w:rFonts w:ascii="Arial" w:cs="Arial" w:eastAsia="Arial" w:hAnsi="Arial"/>
                <w:b w:val="false"/>
                <w:bCs w:val="false"/>
                <w:i/>
                <w:iCs/>
                <w:color w:val="666666"/>
                <w:sz w:val="17"/>
                <w:szCs w:val="17"/>
              </w:rPr>
              <w:t xml:space="preserve">This document is prepared exclusively for Medlink India Pvt. Ltd. and contains confidential and proprietary information belonging to Resolute Compliance Advisory LLP. It may not be disclosed, reproduced, or distributed to any third party without the prior written consent of Resolute Compliance Advisory LLP. This document does not constitute legal advice.</w:t>
            </w:r>
          </w:p>
        </w:tc>
      </w:tr>
    </w:tbl>
    <w:p>
      <w:pPr>
        <w:sectPr>
          <w:pgSz w:w="11906" w:h="16838" w:orient="portrait"/>
          <w:pgMar w:top="1080" w:right="1080" w:bottom="1080" w:left="1080" w:header="708" w:footer="708" w:gutter="0"/>
          <w:pgNumType/>
          <w:docGrid w:linePitch="360"/>
        </w:sectPr>
      </w:pPr>
    </w:p>
    <w:p>
      <w:pPr>
        <w:pStyle w:val="Heading1"/>
        <w:spacing w:after="120" w:before="280"/>
      </w:pPr>
      <w:r>
        <w:rPr>
          <w:rFonts w:ascii="Arial" w:cs="Arial" w:eastAsia="Arial" w:hAnsi="Arial"/>
          <w:b/>
          <w:bCs/>
          <w:i w:val="false"/>
          <w:iCs w:val="false"/>
          <w:color w:val="1B2A4A"/>
          <w:sz w:val="26"/>
          <w:szCs w:val="26"/>
        </w:rPr>
        <w:t xml:space="preserve">Document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11"/>
        <w:gridCol w:w="6335"/>
      </w:tblGrid>
      <w:tr>
        <w:tc>
          <w:tcPr>
            <w:tcW w:type="dxa" w:w="3411"/>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Field</w:t>
            </w:r>
          </w:p>
        </w:tc>
        <w:tc>
          <w:tcPr>
            <w:tcW w:type="dxa" w:w="6335"/>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Details</w:t>
            </w:r>
          </w:p>
        </w:tc>
      </w:tr>
      <w:tr>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Document Title</w:t>
            </w:r>
          </w:p>
        </w:tc>
        <w:tc>
          <w:tcPr>
            <w:tcW w:type="dxa" w:w="63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GDPR + DPDP Act 2023 Compliance Assessment Report</w:t>
            </w:r>
          </w:p>
        </w:tc>
      </w:tr>
      <w:tr>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Document Ref</w:t>
            </w:r>
          </w:p>
        </w:tc>
        <w:tc>
          <w:tcPr>
            <w:tcW w:type="dxa" w:w="633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RCA-P2-003</w:t>
            </w:r>
          </w:p>
        </w:tc>
      </w:tr>
      <w:tr>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Client</w:t>
            </w:r>
          </w:p>
        </w:tc>
        <w:tc>
          <w:tcPr>
            <w:tcW w:type="dxa" w:w="63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Medlink India Pvt. Ltd.</w:t>
            </w:r>
          </w:p>
        </w:tc>
      </w:tr>
      <w:tr>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Project</w:t>
            </w:r>
          </w:p>
        </w:tc>
        <w:tc>
          <w:tcPr>
            <w:tcW w:type="dxa" w:w="633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ISO 27001:2022 + GDPR + DPDP Act 2023 Compliance Assessment</w:t>
            </w:r>
          </w:p>
        </w:tc>
      </w:tr>
      <w:tr>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Frameworks</w:t>
            </w:r>
          </w:p>
        </w:tc>
        <w:tc>
          <w:tcPr>
            <w:tcW w:type="dxa" w:w="63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UK General Data Protection Regulation (UK GDPR); Digital Personal Data Protection Act 2023 (India)</w:t>
            </w:r>
          </w:p>
        </w:tc>
      </w:tr>
      <w:tr>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Prepared by</w:t>
            </w:r>
          </w:p>
        </w:tc>
        <w:tc>
          <w:tcPr>
            <w:tcW w:type="dxa" w:w="633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kay Shahbaaz, GRC Analyst</w:t>
            </w:r>
          </w:p>
        </w:tc>
      </w:tr>
      <w:tr>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Reviewed by</w:t>
            </w:r>
          </w:p>
        </w:tc>
        <w:tc>
          <w:tcPr>
            <w:tcW w:type="dxa" w:w="63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Resolute Compliance Advisory LLP</w:t>
            </w:r>
          </w:p>
        </w:tc>
      </w:tr>
      <w:tr>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Assessment Period</w:t>
            </w:r>
          </w:p>
        </w:tc>
        <w:tc>
          <w:tcPr>
            <w:tcW w:type="dxa" w:w="633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15 April 2024 – 30 April 2024</w:t>
            </w:r>
          </w:p>
        </w:tc>
      </w:tr>
      <w:tr>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Report Date</w:t>
            </w:r>
          </w:p>
        </w:tc>
        <w:tc>
          <w:tcPr>
            <w:tcW w:type="dxa" w:w="63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15 May 2024</w:t>
            </w:r>
          </w:p>
        </w:tc>
      </w:tr>
      <w:tr>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Version</w:t>
            </w:r>
          </w:p>
        </w:tc>
        <w:tc>
          <w:tcPr>
            <w:tcW w:type="dxa" w:w="633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v1.0</w:t>
            </w:r>
          </w:p>
        </w:tc>
      </w:tr>
      <w:tr>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Classification</w:t>
            </w:r>
          </w:p>
        </w:tc>
        <w:tc>
          <w:tcPr>
            <w:tcW w:type="dxa" w:w="63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CONFIDENTIAL</w:t>
            </w:r>
          </w:p>
        </w:tc>
      </w:tr>
      <w:tr>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Status</w:t>
            </w:r>
          </w:p>
        </w:tc>
        <w:tc>
          <w:tcPr>
            <w:tcW w:type="dxa" w:w="633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Final</w:t>
            </w:r>
          </w:p>
        </w:tc>
      </w:tr>
    </w:tbl>
    <w:p>
      <w:pPr>
        <w:pStyle w:val="Heading1"/>
        <w:pageBreakBefore/>
        <w:spacing w:after="120" w:before="280"/>
      </w:pPr>
      <w:r>
        <w:rPr>
          <w:rFonts w:ascii="Arial" w:cs="Arial" w:eastAsia="Arial" w:hAnsi="Arial"/>
          <w:b/>
          <w:bCs/>
          <w:i w:val="false"/>
          <w:iCs w:val="false"/>
          <w:color w:val="1B2A4A"/>
          <w:sz w:val="26"/>
          <w:szCs w:val="26"/>
        </w:rPr>
        <w:t xml:space="preserve">1.  Executive Summary</w:t>
      </w:r>
    </w:p>
    <w:p>
      <w:pPr>
        <w:spacing w:after="60" w:before="80"/>
        <w:jc w:val="left"/>
      </w:pPr>
      <w:r>
        <w:rPr>
          <w:rFonts w:ascii="Arial" w:cs="Arial" w:eastAsia="Arial" w:hAnsi="Arial"/>
          <w:b w:val="false"/>
          <w:bCs w:val="false"/>
          <w:i w:val="false"/>
          <w:iCs w:val="false"/>
          <w:color w:val="1A1A1A"/>
          <w:sz w:val="20"/>
          <w:szCs w:val="20"/>
        </w:rPr>
        <w:t xml:space="preserve">Resolute Compliance Advisory LLP conducted a privacy compliance assessment of Medlink India Pvt. Ltd. against the requirements of the UK General Data Protection Regulation (UK GDPR) and the Digital Personal Data Protection Act 2023 (DPDP Act). The assessment was conducted between 15 April and 30 April 2024 as the second phase of the broader compliance programme engagement (following the ISO 27001:2022 gap assessment documented in RCA-P2-002).</w:t>
      </w:r>
    </w:p>
    <w:p>
      <w:pPr>
        <w:spacing w:after="80" w:before="60"/>
        <w:jc w:val="left"/>
      </w:pPr>
      <w:r>
        <w:rPr>
          <w:rFonts w:ascii="Arial" w:cs="Arial" w:eastAsia="Arial" w:hAnsi="Arial"/>
          <w:b w:val="false"/>
          <w:bCs w:val="false"/>
          <w:i w:val="false"/>
          <w:iCs w:val="false"/>
          <w:color w:val="1A1A1A"/>
          <w:sz w:val="20"/>
          <w:szCs w:val="20"/>
        </w:rPr>
        <w:t xml:space="preserve">Medlink processes personal data of patients across two primary jurisdictions: the United Kingdom (via NHS-affiliated hospital and clinic clients using the platform) and India (the primary market). This dual exposure activates two distinct but partially overlapping privacy regimes with different requirements in several key areas, creating a compliance architecture that must satisfy both frameworks simultaneously.</w:t>
      </w:r>
    </w:p>
    <w:p>
      <w:pPr>
        <w:pStyle w:val="Heading2"/>
        <w:spacing w:after="80" w:before="200"/>
      </w:pPr>
      <w:r>
        <w:rPr>
          <w:rFonts w:ascii="Arial" w:cs="Arial" w:eastAsia="Arial" w:hAnsi="Arial"/>
          <w:b/>
          <w:bCs/>
          <w:i w:val="false"/>
          <w:iCs w:val="false"/>
          <w:color w:val="1B2A4A"/>
          <w:sz w:val="22"/>
          <w:szCs w:val="22"/>
        </w:rPr>
        <w:t xml:space="preserve">1.1  Finding Summary by Framework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949"/>
        <w:gridCol w:w="1949"/>
        <w:gridCol w:w="3704"/>
      </w:tblGrid>
      <w:tr>
        <w:tc>
          <w:tcPr>
            <w:tcW w:type="dxa" w:w="2144"/>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Framework</w:t>
            </w:r>
          </w:p>
        </w:tc>
        <w:tc>
          <w:tcPr>
            <w:tcW w:type="dxa" w:w="1949"/>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Critical</w:t>
            </w:r>
          </w:p>
        </w:tc>
        <w:tc>
          <w:tcPr>
            <w:tcW w:type="dxa" w:w="1949"/>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High</w:t>
            </w:r>
          </w:p>
        </w:tc>
        <w:tc>
          <w:tcPr>
            <w:tcW w:type="dxa" w:w="3704"/>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Medium</w:t>
            </w:r>
          </w:p>
        </w:tc>
      </w:tr>
      <w:tr>
        <w:tc>
          <w:tcPr>
            <w:tcW w:type="dxa" w:w="214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17A65"/>
                <w:sz w:val="20"/>
                <w:szCs w:val="20"/>
              </w:rPr>
              <w:t xml:space="preserve">UK GDPR</w:t>
            </w:r>
          </w:p>
        </w:tc>
        <w:tc>
          <w:tcPr>
            <w:tcW w:type="dxa" w:w="1949"/>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922B21"/>
                <w:sz w:val="24"/>
                <w:szCs w:val="24"/>
              </w:rPr>
              <w:t xml:space="preserve">2</w:t>
            </w:r>
          </w:p>
        </w:tc>
        <w:tc>
          <w:tcPr>
            <w:tcW w:type="dxa" w:w="1949"/>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C0392B"/>
                <w:sz w:val="24"/>
                <w:szCs w:val="24"/>
              </w:rPr>
              <w:t xml:space="preserve">2</w:t>
            </w:r>
          </w:p>
        </w:tc>
        <w:tc>
          <w:tcPr>
            <w:tcW w:type="dxa" w:w="3704"/>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D68910"/>
                <w:sz w:val="24"/>
                <w:szCs w:val="24"/>
              </w:rPr>
              <w:t xml:space="preserve">1</w:t>
            </w:r>
          </w:p>
        </w:tc>
      </w:tr>
      <w:tr>
        <w:tc>
          <w:tcPr>
            <w:tcW w:type="dxa" w:w="214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6C3483"/>
                <w:sz w:val="20"/>
                <w:szCs w:val="20"/>
              </w:rPr>
              <w:t xml:space="preserve">DPDP Act 2023</w:t>
            </w:r>
          </w:p>
        </w:tc>
        <w:tc>
          <w:tcPr>
            <w:tcW w:type="dxa" w:w="1949"/>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922B21"/>
                <w:sz w:val="24"/>
                <w:szCs w:val="24"/>
              </w:rPr>
              <w:t xml:space="preserve">1</w:t>
            </w:r>
          </w:p>
        </w:tc>
        <w:tc>
          <w:tcPr>
            <w:tcW w:type="dxa" w:w="1949"/>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C0392B"/>
                <w:sz w:val="24"/>
                <w:szCs w:val="24"/>
              </w:rPr>
              <w:t xml:space="preserve">2</w:t>
            </w:r>
          </w:p>
        </w:tc>
        <w:tc>
          <w:tcPr>
            <w:tcW w:type="dxa" w:w="3704"/>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D68910"/>
                <w:sz w:val="24"/>
                <w:szCs w:val="24"/>
              </w:rPr>
              <w:t xml:space="preserve">1</w:t>
            </w:r>
          </w:p>
        </w:tc>
      </w:tr>
      <w:tr>
        <w:tc>
          <w:tcPr>
            <w:tcW w:type="dxa" w:w="214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TOTAL</w:t>
            </w:r>
          </w:p>
        </w:tc>
        <w:tc>
          <w:tcPr>
            <w:tcW w:type="dxa" w:w="1949"/>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922B21"/>
                <w:sz w:val="24"/>
                <w:szCs w:val="24"/>
              </w:rPr>
              <w:t xml:space="preserve">3</w:t>
            </w:r>
          </w:p>
        </w:tc>
        <w:tc>
          <w:tcPr>
            <w:tcW w:type="dxa" w:w="1949"/>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C0392B"/>
                <w:sz w:val="24"/>
                <w:szCs w:val="24"/>
              </w:rPr>
              <w:t xml:space="preserve">4</w:t>
            </w:r>
          </w:p>
        </w:tc>
        <w:tc>
          <w:tcPr>
            <w:tcW w:type="dxa" w:w="3704"/>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D68910"/>
                <w:sz w:val="24"/>
                <w:szCs w:val="24"/>
              </w:rPr>
              <w:t xml:space="preserve">2</w:t>
            </w:r>
          </w:p>
        </w:tc>
      </w:tr>
    </w:tbl>
    <w:p>
      <w:pPr>
        <w:spacing w:after="80" w:before="80"/>
      </w:pPr>
      <w:r>
        <w:rPr>
          <w:rFonts w:ascii="Arial" w:cs="Arial" w:eastAsia="Arial" w:hAnsi="Arial"/>
          <w:b w:val="false"/>
          <w:bCs w:val="false"/>
          <w:i w:val="false"/>
          <w:iCs w:val="false"/>
          <w:color w:val="1A1A1A"/>
          <w:sz w:val="20"/>
          <w:szCs w:val="20"/>
        </w:rPr>
        <w:t xml:space="preserve"/>
      </w:r>
    </w:p>
    <w:p>
      <w:pPr>
        <w:spacing w:after="60" w:before="60"/>
        <w:jc w:val="left"/>
      </w:pPr>
      <w:r>
        <w:rPr>
          <w:rFonts w:ascii="Arial" w:cs="Arial" w:eastAsia="Arial" w:hAnsi="Arial"/>
          <w:b w:val="false"/>
          <w:bCs w:val="false"/>
          <w:i w:val="false"/>
          <w:iCs w:val="false"/>
          <w:color w:val="1A1A1A"/>
          <w:sz w:val="20"/>
          <w:szCs w:val="20"/>
        </w:rPr>
        <w:t xml:space="preserve">Nine (9) privacy compliance findings were identified across both frameworks: 3 Critical, 4 High, and 2 Medium. The most material findings relate to: the complete absence of GDPR Article 28 Data Processing Agreements with UK clinic clients (G-001); the failure to conduct a Data Protection Impact Assessment for the core processing activity (G-002); and non-compliant consent collection from Indian patients under the DPDP Act (D-001).</w:t>
      </w:r>
    </w:p>
    <w:p>
      <w:pPr>
        <w:spacing w:after="80" w:before="60"/>
        <w:jc w:val="left"/>
      </w:pPr>
      <w:r>
        <w:rPr>
          <w:rFonts w:ascii="Arial" w:cs="Arial" w:eastAsia="Arial" w:hAnsi="Arial"/>
          <w:b w:val="false"/>
          <w:bCs w:val="false"/>
          <w:i w:val="false"/>
          <w:iCs w:val="false"/>
          <w:color w:val="1A1A1A"/>
          <w:sz w:val="20"/>
          <w:szCs w:val="20"/>
        </w:rPr>
        <w:t xml:space="preserve">Two findings — G-001 and G-002 — represent standalone regulatory violations under UK GDPR independent of whether any data breach occurs. A breach affecting UK patient data while these gaps exist would compound the regulatory exposure significantly. Similarly, D-001 (non-compliant consent mechanism) represents a live compliance failure affecting every Indian patient onboarded to the platform since the DPDP Act came into force in August 2023.</w:t>
      </w:r>
    </w:p>
    <w:p>
      <w:pPr>
        <w:pStyle w:val="Heading2"/>
        <w:spacing w:after="80" w:before="200"/>
      </w:pPr>
      <w:r>
        <w:rPr>
          <w:rFonts w:ascii="Arial" w:cs="Arial" w:eastAsia="Arial" w:hAnsi="Arial"/>
          <w:b/>
          <w:bCs/>
          <w:i w:val="false"/>
          <w:iCs w:val="false"/>
          <w:color w:val="1B2A4A"/>
          <w:sz w:val="22"/>
          <w:szCs w:val="22"/>
        </w:rPr>
        <w:t xml:space="preserve">1.2  Jurisdictional Compliance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3411"/>
        <w:gridCol w:w="3412"/>
      </w:tblGrid>
      <w:tr>
        <w:tc>
          <w:tcPr>
            <w:tcW w:type="dxa" w:w="2923"/>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Jurisdiction</w:t>
            </w:r>
          </w:p>
        </w:tc>
        <w:tc>
          <w:tcPr>
            <w:tcW w:type="dxa" w:w="3411"/>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Applicable Framework</w:t>
            </w:r>
          </w:p>
        </w:tc>
        <w:tc>
          <w:tcPr>
            <w:tcW w:type="dxa" w:w="3412"/>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Overall Status</w:t>
            </w:r>
          </w:p>
        </w:tc>
      </w:tr>
      <w:tr>
        <w:tc>
          <w:tcPr>
            <w:tcW w:type="dxa" w:w="292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1A1A"/>
                <w:sz w:val="20"/>
                <w:szCs w:val="20"/>
              </w:rPr>
              <w:t xml:space="preserve">United Kingdom</w:t>
            </w:r>
          </w:p>
        </w:tc>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UK GDPR (retained EU law post-Brexit)</w:t>
            </w:r>
          </w:p>
        </w:tc>
        <w:tc>
          <w:tcPr>
            <w:tcW w:type="dxa" w:w="3412"/>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20"/>
                <w:szCs w:val="20"/>
              </w:rPr>
              <w:t xml:space="preserve">NOT COMPLIANT — 5 findings (2 Critical)</w:t>
            </w:r>
          </w:p>
        </w:tc>
      </w:tr>
      <w:tr>
        <w:tc>
          <w:tcPr>
            <w:tcW w:type="dxa" w:w="2923"/>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1A1A"/>
                <w:sz w:val="20"/>
                <w:szCs w:val="20"/>
              </w:rPr>
              <w:t xml:space="preserve">India</w:t>
            </w:r>
          </w:p>
        </w:tc>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Digital Personal Data Protection Act 2023</w:t>
            </w:r>
          </w:p>
        </w:tc>
        <w:tc>
          <w:tcPr>
            <w:tcW w:type="dxa" w:w="3412"/>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20"/>
                <w:szCs w:val="20"/>
              </w:rPr>
              <w:t xml:space="preserve">NOT COMPLIANT — 4 findings (1 Critical)</w:t>
            </w:r>
          </w:p>
        </w:tc>
      </w:tr>
    </w:tbl>
    <w:p>
      <w:pPr>
        <w:pStyle w:val="Heading1"/>
        <w:pageBreakBefore/>
        <w:spacing w:after="120" w:before="280"/>
      </w:pPr>
      <w:r>
        <w:rPr>
          <w:rFonts w:ascii="Arial" w:cs="Arial" w:eastAsia="Arial" w:hAnsi="Arial"/>
          <w:b/>
          <w:bCs/>
          <w:i w:val="false"/>
          <w:iCs w:val="false"/>
          <w:color w:val="1B2A4A"/>
          <w:sz w:val="26"/>
          <w:szCs w:val="26"/>
        </w:rPr>
        <w:t xml:space="preserve">2.  Regulatory Framework</w:t>
      </w:r>
    </w:p>
    <w:p>
      <w:pPr>
        <w:pStyle w:val="Heading2"/>
        <w:spacing w:after="80" w:before="200"/>
      </w:pPr>
      <w:r>
        <w:rPr>
          <w:rFonts w:ascii="Arial" w:cs="Arial" w:eastAsia="Arial" w:hAnsi="Arial"/>
          <w:b/>
          <w:bCs/>
          <w:i w:val="false"/>
          <w:iCs w:val="false"/>
          <w:color w:val="1B2A4A"/>
          <w:sz w:val="22"/>
          <w:szCs w:val="22"/>
        </w:rPr>
        <w:t xml:space="preserve">2.1  UK General Data Protection Regulation (UK GDPR)</w:t>
      </w:r>
    </w:p>
    <w:p>
      <w:pPr>
        <w:spacing w:after="60" w:before="60"/>
        <w:jc w:val="left"/>
      </w:pPr>
      <w:r>
        <w:rPr>
          <w:rFonts w:ascii="Arial" w:cs="Arial" w:eastAsia="Arial" w:hAnsi="Arial"/>
          <w:b w:val="false"/>
          <w:bCs w:val="false"/>
          <w:i w:val="false"/>
          <w:iCs w:val="false"/>
          <w:color w:val="1A1A1A"/>
          <w:sz w:val="20"/>
          <w:szCs w:val="20"/>
        </w:rPr>
        <w:t xml:space="preserve">The UK GDPR is the retained version of the EU General Data Protection Regulation (Regulation 2016/679), as it has effect in UK domestic law following the UK's departure from the European Union. It is given effect by the Data Protection Act 2018. The UK GDPR applies to the processing of personal data of data subjects located in the United Kingdom, regardless of where the controller or processor is established.</w:t>
      </w:r>
    </w:p>
    <w:p>
      <w:pPr>
        <w:spacing w:after="60" w:before="60"/>
        <w:jc w:val="left"/>
      </w:pPr>
      <w:r>
        <w:rPr>
          <w:rFonts w:ascii="Arial" w:cs="Arial" w:eastAsia="Arial" w:hAnsi="Arial"/>
          <w:b w:val="false"/>
          <w:bCs w:val="false"/>
          <w:i w:val="false"/>
          <w:iCs w:val="false"/>
          <w:color w:val="1A1A1A"/>
          <w:sz w:val="20"/>
          <w:szCs w:val="20"/>
        </w:rPr>
        <w:t xml:space="preserve">Medlink India Pvt. Ltd. falls within the territorial scope of the UK GDPR under Article 3(2)(a) because it processes personal data of UK data subjects in the context of offering services to data subjects in the UK (through its NHS-affiliated clinic clients). As a data processor processing UK patient data on behalf of those clinic clients (the data controllers), Medlink carries specific obligations under Articles 28, 32, and 33 of the UK GDPR. The relevant supervisory authority for UK data subjects is the Information Commissioner's Office (ICO).</w:t>
      </w:r>
    </w:p>
    <w:p>
      <w:pPr>
        <w:pStyle w:val="Heading2"/>
        <w:spacing w:after="80" w:before="200"/>
      </w:pPr>
      <w:r>
        <w:rPr>
          <w:rFonts w:ascii="Arial" w:cs="Arial" w:eastAsia="Arial" w:hAnsi="Arial"/>
          <w:b/>
          <w:bCs/>
          <w:i w:val="false"/>
          <w:iCs w:val="false"/>
          <w:color w:val="1B2A4A"/>
          <w:sz w:val="22"/>
          <w:szCs w:val="22"/>
        </w:rPr>
        <w:t xml:space="preserve">2.2  Digital Personal Data Protection Act 2023 (DPDP Act)</w:t>
      </w:r>
    </w:p>
    <w:p>
      <w:pPr>
        <w:spacing w:after="60" w:before="60"/>
        <w:jc w:val="left"/>
      </w:pPr>
      <w:r>
        <w:rPr>
          <w:rFonts w:ascii="Arial" w:cs="Arial" w:eastAsia="Arial" w:hAnsi="Arial"/>
          <w:b w:val="false"/>
          <w:bCs w:val="false"/>
          <w:i w:val="false"/>
          <w:iCs w:val="false"/>
          <w:color w:val="1A1A1A"/>
          <w:sz w:val="20"/>
          <w:szCs w:val="20"/>
        </w:rPr>
        <w:t xml:space="preserve">The Digital Personal Data Protection Act 2023 (DPDP Act) received Presidential assent on 11 August 2023 and came into force progressively thereafter. It is the primary federal data protection legislation in India, replacing the previous framework under the Information Technology (Amendment) Act 2008. The DPDP Act introduces a comprehensive consent-based framework for the processing of personal digital data of Indian citizens, enforceable by the Data Protection Board of India.</w:t>
      </w:r>
    </w:p>
    <w:p>
      <w:pPr>
        <w:spacing w:after="60" w:before="60"/>
        <w:jc w:val="left"/>
      </w:pPr>
      <w:r>
        <w:rPr>
          <w:rFonts w:ascii="Arial" w:cs="Arial" w:eastAsia="Arial" w:hAnsi="Arial"/>
          <w:b w:val="false"/>
          <w:bCs w:val="false"/>
          <w:i w:val="false"/>
          <w:iCs w:val="false"/>
          <w:color w:val="1A1A1A"/>
          <w:sz w:val="20"/>
          <w:szCs w:val="20"/>
        </w:rPr>
        <w:t xml:space="preserve">Medlink India Pvt. Ltd. is a Data Fiduciary under the DPDP Act — an entity that determines the purpose and means of processing of personal digital data. As a healthtech platform processing the personal data (including health data, which is not separately categorised but treated with heightened sensitivity under the Act) of Indian patients, Medlink carries obligations relating to consent (Section 6), data quality (Section 8), Data Principal rights (Sections 11–13), and breach notification (Section 8(6)).</w:t>
      </w:r>
    </w:p>
    <w:p>
      <w:pPr>
        <w:pStyle w:val="Heading2"/>
        <w:spacing w:after="80" w:before="200"/>
      </w:pPr>
      <w:r>
        <w:rPr>
          <w:rFonts w:ascii="Arial" w:cs="Arial" w:eastAsia="Arial" w:hAnsi="Arial"/>
          <w:b/>
          <w:bCs/>
          <w:i w:val="false"/>
          <w:iCs w:val="false"/>
          <w:color w:val="1B2A4A"/>
          <w:sz w:val="22"/>
          <w:szCs w:val="22"/>
        </w:rPr>
        <w:t xml:space="preserve">2.3  Medlink's Dual-Framework Position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3508"/>
        <w:gridCol w:w="3510"/>
      </w:tblGrid>
      <w:tr>
        <w:tc>
          <w:tcPr>
            <w:tcW w:type="dxa" w:w="2728"/>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Area</w:t>
            </w:r>
          </w:p>
        </w:tc>
        <w:tc>
          <w:tcPr>
            <w:tcW w:type="dxa" w:w="3508"/>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UK GDPR Position</w:t>
            </w:r>
          </w:p>
        </w:tc>
        <w:tc>
          <w:tcPr>
            <w:tcW w:type="dxa" w:w="351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DPDP Act Position</w:t>
            </w:r>
          </w:p>
        </w:tc>
      </w:tr>
      <w:tr>
        <w:tc>
          <w:tcPr>
            <w:tcW w:type="dxa" w:w="27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Role</w:t>
            </w:r>
          </w:p>
        </w:tc>
        <w:tc>
          <w:tcPr>
            <w:tcW w:type="dxa" w:w="35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Data Processor (processing on behalf of UK clinic clients)</w:t>
            </w:r>
          </w:p>
        </w:tc>
        <w:tc>
          <w:tcPr>
            <w:tcW w:type="dxa" w:w="35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Data Fiduciary (determines purpose and means)</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Data subjects in scope</w:t>
            </w:r>
          </w:p>
        </w:tc>
        <w:tc>
          <w:tcPr>
            <w:tcW w:type="dxa" w:w="350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UK patients of NHS-affiliated clinics using the Medlink platform</w:t>
            </w:r>
          </w:p>
        </w:tc>
        <w:tc>
          <w:tcPr>
            <w:tcW w:type="dxa" w:w="3510"/>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Indian patients registered on the Medlink EMR platform</w:t>
            </w:r>
          </w:p>
        </w:tc>
      </w:tr>
      <w:tr>
        <w:tc>
          <w:tcPr>
            <w:tcW w:type="dxa" w:w="27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Primary data categories</w:t>
            </w:r>
          </w:p>
        </w:tc>
        <w:tc>
          <w:tcPr>
            <w:tcW w:type="dxa" w:w="35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Health data (special category — Article 9 UK GDPR)</w:t>
            </w:r>
          </w:p>
        </w:tc>
        <w:tc>
          <w:tcPr>
            <w:tcW w:type="dxa" w:w="35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Personal data including health information</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Key obligations</w:t>
            </w:r>
          </w:p>
        </w:tc>
        <w:tc>
          <w:tcPr>
            <w:tcW w:type="dxa" w:w="350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Art. 28 DPA; Art. 32 security; Art. 33 breach notification to ICO; Art. 35 DPIA</w:t>
            </w:r>
          </w:p>
        </w:tc>
        <w:tc>
          <w:tcPr>
            <w:tcW w:type="dxa" w:w="3510"/>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Sec. 6 consent; Sec. 8 obligations; Sec. 8(6) breach notification to DPB; Secs. 11–13 Data Principal rights</w:t>
            </w:r>
          </w:p>
        </w:tc>
      </w:tr>
      <w:tr>
        <w:tc>
          <w:tcPr>
            <w:tcW w:type="dxa" w:w="27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Supervisory authority</w:t>
            </w:r>
          </w:p>
        </w:tc>
        <w:tc>
          <w:tcPr>
            <w:tcW w:type="dxa" w:w="35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Information Commissioner's Office (ICO), United Kingdom</w:t>
            </w:r>
          </w:p>
        </w:tc>
        <w:tc>
          <w:tcPr>
            <w:tcW w:type="dxa" w:w="35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Data Protection Board of India (DPB)</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Data location</w:t>
            </w:r>
          </w:p>
        </w:tc>
        <w:tc>
          <w:tcPr>
            <w:tcW w:type="dxa" w:w="350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AWS London Region (eu-west-2)</w:t>
            </w:r>
          </w:p>
        </w:tc>
        <w:tc>
          <w:tcPr>
            <w:tcW w:type="dxa" w:w="3510"/>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AWS Mumbai Region (ap-south-1)</w:t>
            </w:r>
          </w:p>
        </w:tc>
      </w:tr>
    </w:tbl>
    <w:p>
      <w:pPr>
        <w:pStyle w:val="Heading1"/>
        <w:pageBreakBefore/>
        <w:spacing w:after="120" w:before="280"/>
      </w:pPr>
      <w:r>
        <w:rPr>
          <w:rFonts w:ascii="Arial" w:cs="Arial" w:eastAsia="Arial" w:hAnsi="Arial"/>
          <w:b/>
          <w:bCs/>
          <w:i w:val="false"/>
          <w:iCs w:val="false"/>
          <w:color w:val="1B2A4A"/>
          <w:sz w:val="26"/>
          <w:szCs w:val="26"/>
        </w:rPr>
        <w:t xml:space="preserve">3.  UK GDPR Findings</w:t>
      </w:r>
    </w:p>
    <w:p>
      <w:pPr>
        <w:spacing w:after="80" w:before="60"/>
        <w:jc w:val="left"/>
      </w:pPr>
      <w:r>
        <w:rPr>
          <w:rFonts w:ascii="Arial" w:cs="Arial" w:eastAsia="Arial" w:hAnsi="Arial"/>
          <w:b w:val="false"/>
          <w:bCs w:val="false"/>
          <w:i w:val="false"/>
          <w:iCs w:val="false"/>
          <w:color w:val="1A1A1A"/>
          <w:sz w:val="20"/>
          <w:szCs w:val="20"/>
        </w:rPr>
        <w:t xml:space="preserve">This section presents findings against the requirements of the UK General Data Protection Regulation (UK GDPR). Finding references prefixed 'G-' relate to UK GDPR obligations. Each finding is assessed against the specific article of the UK GDPR, the observed gap, the legal obligation and risk, and the recommended action.</w:t>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17A65" w:sz="4"/>
              <w:left w:val="single" w:color="117A65" w:sz="4"/>
              <w:bottom w:val="single" w:color="117A65" w:sz="4"/>
              <w:right w:val="single" w:color="117A65" w:sz="4"/>
            </w:tcBorders>
            <w:shd w:fill="117A65"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G-001  </w:t>
            </w:r>
            <w:r>
              <w:rPr>
                <w:rFonts w:ascii="Arial" w:cs="Arial" w:eastAsia="Arial" w:hAnsi="Arial"/>
                <w:b/>
                <w:bCs/>
                <w:i w:val="false"/>
                <w:iCs w:val="false"/>
                <w:color w:val="FFFFFF"/>
                <w:sz w:val="20"/>
                <w:szCs w:val="20"/>
              </w:rPr>
              <w:t xml:space="preserve">No Article 28 Data Processing Agreements with UK Clinic Clients</w:t>
            </w:r>
          </w:p>
          <w:p>
            <w:pPr>
              <w:spacing w:after="60" w:before="0"/>
              <w:jc w:val="left"/>
            </w:pPr>
            <w:r>
              <w:rPr>
                <w:rFonts w:ascii="Arial" w:cs="Arial" w:eastAsia="Arial" w:hAnsi="Arial"/>
                <w:b w:val="false"/>
                <w:bCs w:val="false"/>
                <w:i w:val="false"/>
                <w:iCs w:val="false"/>
                <w:color w:val="EEF1F7"/>
                <w:sz w:val="18"/>
                <w:szCs w:val="18"/>
              </w:rPr>
              <w:t xml:space="preserve">Framework: </w:t>
            </w:r>
            <w:r>
              <w:rPr>
                <w:rFonts w:ascii="Arial" w:cs="Arial" w:eastAsia="Arial" w:hAnsi="Arial"/>
                <w:b/>
                <w:bCs/>
                <w:i w:val="false"/>
                <w:iCs w:val="false"/>
                <w:color w:val="C8A951"/>
                <w:sz w:val="18"/>
                <w:szCs w:val="18"/>
              </w:rPr>
              <w:t xml:space="preserve">UK GDPR</w:t>
            </w:r>
            <w:r>
              <w:rPr>
                <w:rFonts w:ascii="Arial" w:cs="Arial" w:eastAsia="Arial" w:hAnsi="Arial"/>
                <w:b w:val="false"/>
                <w:bCs w:val="false"/>
                <w:i w:val="false"/>
                <w:iCs w:val="false"/>
                <w:color w:val="EEF1F7"/>
                <w:sz w:val="18"/>
                <w:szCs w:val="18"/>
              </w:rPr>
              <w:t xml:space="preserve">   |   Severity: </w:t>
            </w:r>
            <w:r>
              <w:rPr>
                <w:rFonts w:ascii="Arial" w:cs="Arial" w:eastAsia="Arial" w:hAnsi="Arial"/>
                <w:b/>
                <w:bCs/>
                <w:i w:val="false"/>
                <w:iCs w:val="false"/>
                <w:color w:val="C8A951"/>
                <w:sz w:val="18"/>
                <w:szCs w:val="18"/>
              </w:rPr>
              <w:t xml:space="preserve">Critical</w:t>
            </w:r>
            <w:r>
              <w:rPr>
                <w:rFonts w:ascii="Arial" w:cs="Arial" w:eastAsia="Arial" w:hAnsi="Arial"/>
                <w:b w:val="false"/>
                <w:bCs w:val="false"/>
                <w:i w:val="false"/>
                <w:iCs w:val="false"/>
                <w:color w:val="EEF1F7"/>
                <w:sz w:val="18"/>
                <w:szCs w:val="18"/>
              </w:rPr>
              <w:t xml:space="preserve">   |   Article: </w:t>
            </w:r>
            <w:r>
              <w:rPr>
                <w:rFonts w:ascii="Arial" w:cs="Arial" w:eastAsia="Arial" w:hAnsi="Arial"/>
                <w:b w:val="false"/>
                <w:bCs w:val="false"/>
                <w:i w:val="false"/>
                <w:iCs w:val="false"/>
                <w:color w:val="EEF1F7"/>
                <w:sz w:val="18"/>
                <w:szCs w:val="18"/>
              </w:rPr>
              <w:t xml:space="preserve">Article 28 UK GDPR</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Medlink processes personal data of UK patients on behalf of NHS-affiliated clinic clients. Under Article 28 of the UK GDPR, where a controller (the clinic) uses a processor (Medlink), the processing must be governed by a contract or legal act binding on the processor with respect to the controller. This contract must set out the subject matter, duration, nature and purpose of the processing, the type of personal data, and the categories of data subjects, and must contain the mandatory provisions listed in Article 28(3)(a)–(h). Review of three UK clinic client service agreements confirmed that none contains a Data Processing Agreement or Article 28 clauses. The agreements are standard service contracts covering commercial terms, SLAs, and support — with no reference to data protection obligations, processor security measures, sub-processor notification, data deletion or return, or audit rights.</w:t>
            </w:r>
          </w:p>
        </w:tc>
      </w:tr>
      <w:tr>
        <w:tc>
          <w:tcPr>
            <w:tcW w:type="dxa" w:w="272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Legal Obligation &amp; Risk</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The absence of Article 28 DPAs is a standalone violation of UK GDPR, independent of whether any harm occurs. Both parties — the UK clinic clients (as data controllers) and Medlink (as data processor) — are in breach. The ICO has issued enforcement notices and fines to controllers for failing to ensure processor agreements are in place. In the event of a breach affecting UK patient data, the absence of a DPA would be an aggravating factor in any ICO investigation and would expose both Medlink and its UK clients to regulatory action. Risk score: Likelihood 5 x Impact 4 = 20 (Critical).</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Prepare a standard Data Processing Agreement template that complies with Article 28 UK GDPR, covering: (a) processing only on Medlink's documented instructions; (b) confidentiality obligations on authorised personnel; (c) implementation of Article 32 technical and organisational security measures; (d) sub-processor management — specifically, obligations regarding AWS, Twilio, Razorpay, and lab integration partners; (e) data subject rights assistance obligations; (f) deletion or return of data on termination; (g) audit cooperation rights. Execute the DPA with all three current UK clinic clients as a priority action. Embed DPA execution in the new client onboarding process as a precondition for platform access.</w:t>
            </w:r>
          </w:p>
        </w:tc>
      </w:tr>
    </w:tbl>
    <w:p>
      <w:pPr>
        <w:spacing w:after="40" w:before="40"/>
      </w:pPr>
      <w:r>
        <w:rPr>
          <w:rFonts w:ascii="Arial" w:cs="Arial" w:eastAsia="Arial" w:hAnsi="Arial"/>
          <w:b w:val="false"/>
          <w:bCs w:val="false"/>
          <w:i w:val="false"/>
          <w:iCs w:val="false"/>
          <w:color w:val="1A1A1A"/>
          <w:sz w:val="20"/>
          <w:szCs w:val="20"/>
        </w:rPr>
        <w:t xml:space="preserve"/>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17A65" w:sz="4"/>
              <w:left w:val="single" w:color="117A65" w:sz="4"/>
              <w:bottom w:val="single" w:color="117A65" w:sz="4"/>
              <w:right w:val="single" w:color="117A65" w:sz="4"/>
            </w:tcBorders>
            <w:shd w:fill="117A65"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G-002  </w:t>
            </w:r>
            <w:r>
              <w:rPr>
                <w:rFonts w:ascii="Arial" w:cs="Arial" w:eastAsia="Arial" w:hAnsi="Arial"/>
                <w:b/>
                <w:bCs/>
                <w:i w:val="false"/>
                <w:iCs w:val="false"/>
                <w:color w:val="FFFFFF"/>
                <w:sz w:val="20"/>
                <w:szCs w:val="20"/>
              </w:rPr>
              <w:t xml:space="preserve">No Data Protection Impact Assessment for Core Processing Activity</w:t>
            </w:r>
          </w:p>
          <w:p>
            <w:pPr>
              <w:spacing w:after="60" w:before="0"/>
              <w:jc w:val="left"/>
            </w:pPr>
            <w:r>
              <w:rPr>
                <w:rFonts w:ascii="Arial" w:cs="Arial" w:eastAsia="Arial" w:hAnsi="Arial"/>
                <w:b w:val="false"/>
                <w:bCs w:val="false"/>
                <w:i w:val="false"/>
                <w:iCs w:val="false"/>
                <w:color w:val="EEF1F7"/>
                <w:sz w:val="18"/>
                <w:szCs w:val="18"/>
              </w:rPr>
              <w:t xml:space="preserve">Framework: </w:t>
            </w:r>
            <w:r>
              <w:rPr>
                <w:rFonts w:ascii="Arial" w:cs="Arial" w:eastAsia="Arial" w:hAnsi="Arial"/>
                <w:b/>
                <w:bCs/>
                <w:i w:val="false"/>
                <w:iCs w:val="false"/>
                <w:color w:val="C8A951"/>
                <w:sz w:val="18"/>
                <w:szCs w:val="18"/>
              </w:rPr>
              <w:t xml:space="preserve">UK GDPR</w:t>
            </w:r>
            <w:r>
              <w:rPr>
                <w:rFonts w:ascii="Arial" w:cs="Arial" w:eastAsia="Arial" w:hAnsi="Arial"/>
                <w:b w:val="false"/>
                <w:bCs w:val="false"/>
                <w:i w:val="false"/>
                <w:iCs w:val="false"/>
                <w:color w:val="EEF1F7"/>
                <w:sz w:val="18"/>
                <w:szCs w:val="18"/>
              </w:rPr>
              <w:t xml:space="preserve">   |   Severity: </w:t>
            </w:r>
            <w:r>
              <w:rPr>
                <w:rFonts w:ascii="Arial" w:cs="Arial" w:eastAsia="Arial" w:hAnsi="Arial"/>
                <w:b/>
                <w:bCs/>
                <w:i w:val="false"/>
                <w:iCs w:val="false"/>
                <w:color w:val="C8A951"/>
                <w:sz w:val="18"/>
                <w:szCs w:val="18"/>
              </w:rPr>
              <w:t xml:space="preserve">Critical</w:t>
            </w:r>
            <w:r>
              <w:rPr>
                <w:rFonts w:ascii="Arial" w:cs="Arial" w:eastAsia="Arial" w:hAnsi="Arial"/>
                <w:b w:val="false"/>
                <w:bCs w:val="false"/>
                <w:i w:val="false"/>
                <w:iCs w:val="false"/>
                <w:color w:val="EEF1F7"/>
                <w:sz w:val="18"/>
                <w:szCs w:val="18"/>
              </w:rPr>
              <w:t xml:space="preserve">   |   Article: </w:t>
            </w:r>
            <w:r>
              <w:rPr>
                <w:rFonts w:ascii="Arial" w:cs="Arial" w:eastAsia="Arial" w:hAnsi="Arial"/>
                <w:b w:val="false"/>
                <w:bCs w:val="false"/>
                <w:i w:val="false"/>
                <w:iCs w:val="false"/>
                <w:color w:val="EEF1F7"/>
                <w:sz w:val="18"/>
                <w:szCs w:val="18"/>
              </w:rPr>
              <w:t xml:space="preserve">Article 35 UK GDPR</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Article 35(1) UK GDPR requires a Data Protection Impact Assessment (DPIA) where a type of processing is likely to result in a high risk to the rights and freedoms of natural persons. Article 35(3)(b) specifies that a DPIA is mandatory for large-scale processing of special category data. Medlink's core processing activity — operating an EMR platform that processes the health data (a special category under Article 9 UK GDPR) of patients across 120 healthcare clients — falls squarely within this requirement. No DPIA has ever been conducted. The ICO's published list of processing operations requiring a DPIA includes: processing of special category data on a large scale; profiling of data subjects on a large scale; and processing that involves innovative use of technology. Medlink's processing satisfies the first criterion unambiguously.</w:t>
            </w:r>
          </w:p>
        </w:tc>
      </w:tr>
      <w:tr>
        <w:tc>
          <w:tcPr>
            <w:tcW w:type="dxa" w:w="272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Legal Obligation &amp; Risk</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Failure to conduct a required DPIA is a direct violation of Article 35 UK GDPR, attracting fines of up to GBP 8.75 million or 2% of annual global turnover under the UK GDPR penalty regime (Article 83(4)). The DPIA requirement is not conditional on a breach occurring — it is a prior assessment obligation. The absence of a DPIA also means Medlink cannot demonstrate that risks to data subjects have been systematically identified, assessed, and mitigated — which is directly relevant to the accountability principle under Article 5(2). Risk score: Likelihood 5 x Impact 4 = 20 (Critical).</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Conduct a DPIA for Medlink's core processing activity as a priority action. The DPIA should cover: description of the processing (purpose, necessity, proportionality); assessment of risks to data subjects by category (health data, billing data, diagnostic data); assessment of the risks identified in RCA-P2-002 (particularly F-004 unencrypted S3 buckets and F-006 absence of incident response) as they relate to UK patient data; measures to address the identified risks; and consultation with the ICO if residual risk remains high after measures are implemented. The DPO (to be appointed per G-003) should oversee the DPIA process. The DPIA should be reviewed annually and upon any significant change to the processing.</w:t>
            </w:r>
          </w:p>
        </w:tc>
      </w:tr>
    </w:tbl>
    <w:p>
      <w:pPr>
        <w:spacing w:after="40" w:before="40"/>
      </w:pPr>
      <w:r>
        <w:rPr>
          <w:rFonts w:ascii="Arial" w:cs="Arial" w:eastAsia="Arial" w:hAnsi="Arial"/>
          <w:b w:val="false"/>
          <w:bCs w:val="false"/>
          <w:i w:val="false"/>
          <w:iCs w:val="false"/>
          <w:color w:val="1A1A1A"/>
          <w:sz w:val="20"/>
          <w:szCs w:val="20"/>
        </w:rPr>
        <w:t xml:space="preserve"/>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17A65" w:sz="4"/>
              <w:left w:val="single" w:color="117A65" w:sz="4"/>
              <w:bottom w:val="single" w:color="117A65" w:sz="4"/>
              <w:right w:val="single" w:color="117A65" w:sz="4"/>
            </w:tcBorders>
            <w:shd w:fill="117A65"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G-003  </w:t>
            </w:r>
            <w:r>
              <w:rPr>
                <w:rFonts w:ascii="Arial" w:cs="Arial" w:eastAsia="Arial" w:hAnsi="Arial"/>
                <w:b/>
                <w:bCs/>
                <w:i w:val="false"/>
                <w:iCs w:val="false"/>
                <w:color w:val="FFFFFF"/>
                <w:sz w:val="20"/>
                <w:szCs w:val="20"/>
              </w:rPr>
              <w:t xml:space="preserve">No Data Protection Officer Appointed</w:t>
            </w:r>
          </w:p>
          <w:p>
            <w:pPr>
              <w:spacing w:after="60" w:before="0"/>
              <w:jc w:val="left"/>
            </w:pPr>
            <w:r>
              <w:rPr>
                <w:rFonts w:ascii="Arial" w:cs="Arial" w:eastAsia="Arial" w:hAnsi="Arial"/>
                <w:b w:val="false"/>
                <w:bCs w:val="false"/>
                <w:i w:val="false"/>
                <w:iCs w:val="false"/>
                <w:color w:val="EEF1F7"/>
                <w:sz w:val="18"/>
                <w:szCs w:val="18"/>
              </w:rPr>
              <w:t xml:space="preserve">Framework: </w:t>
            </w:r>
            <w:r>
              <w:rPr>
                <w:rFonts w:ascii="Arial" w:cs="Arial" w:eastAsia="Arial" w:hAnsi="Arial"/>
                <w:b/>
                <w:bCs/>
                <w:i w:val="false"/>
                <w:iCs w:val="false"/>
                <w:color w:val="C8A951"/>
                <w:sz w:val="18"/>
                <w:szCs w:val="18"/>
              </w:rPr>
              <w:t xml:space="preserve">UK GDPR</w:t>
            </w:r>
            <w:r>
              <w:rPr>
                <w:rFonts w:ascii="Arial" w:cs="Arial" w:eastAsia="Arial" w:hAnsi="Arial"/>
                <w:b w:val="false"/>
                <w:bCs w:val="false"/>
                <w:i w:val="false"/>
                <w:iCs w:val="false"/>
                <w:color w:val="EEF1F7"/>
                <w:sz w:val="18"/>
                <w:szCs w:val="18"/>
              </w:rPr>
              <w:t xml:space="preserve">   |   Severity: </w:t>
            </w:r>
            <w:r>
              <w:rPr>
                <w:rFonts w:ascii="Arial" w:cs="Arial" w:eastAsia="Arial" w:hAnsi="Arial"/>
                <w:b/>
                <w:bCs/>
                <w:i w:val="false"/>
                <w:iCs w:val="false"/>
                <w:color w:val="C8A951"/>
                <w:sz w:val="18"/>
                <w:szCs w:val="18"/>
              </w:rPr>
              <w:t xml:space="preserve">High</w:t>
            </w:r>
            <w:r>
              <w:rPr>
                <w:rFonts w:ascii="Arial" w:cs="Arial" w:eastAsia="Arial" w:hAnsi="Arial"/>
                <w:b w:val="false"/>
                <w:bCs w:val="false"/>
                <w:i w:val="false"/>
                <w:iCs w:val="false"/>
                <w:color w:val="EEF1F7"/>
                <w:sz w:val="18"/>
                <w:szCs w:val="18"/>
              </w:rPr>
              <w:t xml:space="preserve">   |   Article: </w:t>
            </w:r>
            <w:r>
              <w:rPr>
                <w:rFonts w:ascii="Arial" w:cs="Arial" w:eastAsia="Arial" w:hAnsi="Arial"/>
                <w:b w:val="false"/>
                <w:bCs w:val="false"/>
                <w:i w:val="false"/>
                <w:iCs w:val="false"/>
                <w:color w:val="EEF1F7"/>
                <w:sz w:val="18"/>
                <w:szCs w:val="18"/>
              </w:rPr>
              <w:t xml:space="preserve">Article 37 UK GDPR</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Article 37(1)(c) UK GDPR requires the mandatory appointment of a Data Protection Officer (DPO) where the core activities of the controller or processor consist of processing on a large scale of special category data. Medlink's core business is the operation of an EMR platform that processes health data (special category under Article 9) for approximately 120 healthcare clients. No DPO has been formally appointed. Privacy accountability currently rests informally with the CTO, who acknowledged in interview that this is an ad hoc arrangement and that no individual holds the DPO role with the independence, expertise, and resources required by Articles 37–39. The DPO's contact details have not been published on Medlink's website or communicated to the ICO.</w:t>
            </w:r>
          </w:p>
        </w:tc>
      </w:tr>
      <w:tr>
        <w:tc>
          <w:tcPr>
            <w:tcW w:type="dxa" w:w="272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Legal Obligation &amp; Risk</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The mandatory DPO requirement under Article 37(1)(c) is not discretionary where the conditions are met, and Medlink meets them. The absence of a DPO means there is no independent oversight function for privacy compliance, no designated point of contact for the ICO, and no individual with the mandate to oversee the DPIA process (G-002), manage data subject requests, and advise on compliance with the UK GDPR. In enforcement investigations, the absence of a mandatory DPO is typically treated as an aggravating factor. Risk score: Likelihood 4 x Impact 4 = 16 (High).</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Appoint a Data Protection Officer with the expertise, independence, and resources required by Articles 37–39 UK GDPR. Options include: (a) appointing an existing senior employee (recommended: a senior legal or compliance professional, not the CTO who has operational responsibilities creating conflict of interest); (b) engaging a DPO-as-a-service provider. The DPO must: report directly to the highest management level; not receive instructions on the exercise of the DPO function; have access to personal data processing activities and systems. Register the DPO's contact details with the ICO and publish them in the UK-facing privacy notice. Under DPDP Act parallel: appoint a Grievance Officer (D-004) concurrently.</w:t>
            </w:r>
          </w:p>
        </w:tc>
      </w:tr>
    </w:tbl>
    <w:p>
      <w:pPr>
        <w:spacing w:after="40" w:before="40"/>
      </w:pPr>
      <w:r>
        <w:rPr>
          <w:rFonts w:ascii="Arial" w:cs="Arial" w:eastAsia="Arial" w:hAnsi="Arial"/>
          <w:b w:val="false"/>
          <w:bCs w:val="false"/>
          <w:i w:val="false"/>
          <w:iCs w:val="false"/>
          <w:color w:val="1A1A1A"/>
          <w:sz w:val="20"/>
          <w:szCs w:val="20"/>
        </w:rPr>
        <w:t xml:space="preserve"/>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17A65" w:sz="4"/>
              <w:left w:val="single" w:color="117A65" w:sz="4"/>
              <w:bottom w:val="single" w:color="117A65" w:sz="4"/>
              <w:right w:val="single" w:color="117A65" w:sz="4"/>
            </w:tcBorders>
            <w:shd w:fill="117A65"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G-004  </w:t>
            </w:r>
            <w:r>
              <w:rPr>
                <w:rFonts w:ascii="Arial" w:cs="Arial" w:eastAsia="Arial" w:hAnsi="Arial"/>
                <w:b/>
                <w:bCs/>
                <w:i w:val="false"/>
                <w:iCs w:val="false"/>
                <w:color w:val="FFFFFF"/>
                <w:sz w:val="20"/>
                <w:szCs w:val="20"/>
              </w:rPr>
              <w:t xml:space="preserve">No Data Retention Schedule; Terminated Client Data Retained Indefinitely</w:t>
            </w:r>
          </w:p>
          <w:p>
            <w:pPr>
              <w:spacing w:after="60" w:before="0"/>
              <w:jc w:val="left"/>
            </w:pPr>
            <w:r>
              <w:rPr>
                <w:rFonts w:ascii="Arial" w:cs="Arial" w:eastAsia="Arial" w:hAnsi="Arial"/>
                <w:b w:val="false"/>
                <w:bCs w:val="false"/>
                <w:i w:val="false"/>
                <w:iCs w:val="false"/>
                <w:color w:val="EEF1F7"/>
                <w:sz w:val="18"/>
                <w:szCs w:val="18"/>
              </w:rPr>
              <w:t xml:space="preserve">Framework: </w:t>
            </w:r>
            <w:r>
              <w:rPr>
                <w:rFonts w:ascii="Arial" w:cs="Arial" w:eastAsia="Arial" w:hAnsi="Arial"/>
                <w:b/>
                <w:bCs/>
                <w:i w:val="false"/>
                <w:iCs w:val="false"/>
                <w:color w:val="C8A951"/>
                <w:sz w:val="18"/>
                <w:szCs w:val="18"/>
              </w:rPr>
              <w:t xml:space="preserve">UK GDPR</w:t>
            </w:r>
            <w:r>
              <w:rPr>
                <w:rFonts w:ascii="Arial" w:cs="Arial" w:eastAsia="Arial" w:hAnsi="Arial"/>
                <w:b w:val="false"/>
                <w:bCs w:val="false"/>
                <w:i w:val="false"/>
                <w:iCs w:val="false"/>
                <w:color w:val="EEF1F7"/>
                <w:sz w:val="18"/>
                <w:szCs w:val="18"/>
              </w:rPr>
              <w:t xml:space="preserve">   |   Severity: </w:t>
            </w:r>
            <w:r>
              <w:rPr>
                <w:rFonts w:ascii="Arial" w:cs="Arial" w:eastAsia="Arial" w:hAnsi="Arial"/>
                <w:b/>
                <w:bCs/>
                <w:i w:val="false"/>
                <w:iCs w:val="false"/>
                <w:color w:val="C8A951"/>
                <w:sz w:val="18"/>
                <w:szCs w:val="18"/>
              </w:rPr>
              <w:t xml:space="preserve">High</w:t>
            </w:r>
            <w:r>
              <w:rPr>
                <w:rFonts w:ascii="Arial" w:cs="Arial" w:eastAsia="Arial" w:hAnsi="Arial"/>
                <w:b w:val="false"/>
                <w:bCs w:val="false"/>
                <w:i w:val="false"/>
                <w:iCs w:val="false"/>
                <w:color w:val="EEF1F7"/>
                <w:sz w:val="18"/>
                <w:szCs w:val="18"/>
              </w:rPr>
              <w:t xml:space="preserve">   |   Article: </w:t>
            </w:r>
            <w:r>
              <w:rPr>
                <w:rFonts w:ascii="Arial" w:cs="Arial" w:eastAsia="Arial" w:hAnsi="Arial"/>
                <w:b w:val="false"/>
                <w:bCs w:val="false"/>
                <w:i w:val="false"/>
                <w:iCs w:val="false"/>
                <w:color w:val="EEF1F7"/>
                <w:sz w:val="18"/>
                <w:szCs w:val="18"/>
              </w:rPr>
              <w:t xml:space="preserve">Article 5(1)(e) UK GDPR</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The storage limitation principle under Article 5(1)(e) UK GDPR requires that personal data be kept in a form which permits identification of data subjects for no longer than is necessary for the purposes for which the personal data are processed. Medlink has no documented data retention schedule for any category of personal data processed on the platform. During the assessment, it was confirmed that patient records belonging to two former clinic clients (whose contracts terminated in 2022 and 2023 respectively) remain active and accessible on the Medlink platform. These records include patient health data processed for the purpose of the terminated clinical service — a purpose that no longer exists. No automated archival, anonymisation, or deletion process exists for any data on the platform. Data subject deletion requests cannot be fulfilled without a retention schedule defining what must be retained (e.g. for legal compliance) and what must be erased.</w:t>
            </w:r>
          </w:p>
        </w:tc>
      </w:tr>
      <w:tr>
        <w:tc>
          <w:tcPr>
            <w:tcW w:type="dxa" w:w="272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Legal Obligation &amp; Risk</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Retaining patient health data beyond the period necessary for its original processing purpose is a direct violation of the storage limitation principle. For UK GDPR purposes, the continued retention of terminated clients' patient data — where no legal basis for continued processing exists — means Medlink is processing special category data without a lawful basis. This is an Article 9 violation in addition to the Article 5(1)(e) violation. Risk score: Likelihood 4 x Impact 4 = 16 (High).</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Develop a data retention schedule covering all categories of personal data processed by Medlink: patient health records (note: minimum retention under MCI guidelines is 5–7 years from last interaction — the retention schedule must reconcile this floor with the GDPR/DPDP maximum ceiling); billing and financial data; staff personal data; and customer contact data. Implement automated archival and deletion controls in the platform. As an immediate action, assess the legal basis for continued retention of the two terminated clients' patient data and, if no lawful basis exists, initiate deletion or secure archival in consultation with the former clients.</w:t>
            </w:r>
          </w:p>
        </w:tc>
      </w:tr>
    </w:tbl>
    <w:p>
      <w:pPr>
        <w:spacing w:after="40" w:before="40"/>
      </w:pPr>
      <w:r>
        <w:rPr>
          <w:rFonts w:ascii="Arial" w:cs="Arial" w:eastAsia="Arial" w:hAnsi="Arial"/>
          <w:b w:val="false"/>
          <w:bCs w:val="false"/>
          <w:i w:val="false"/>
          <w:iCs w:val="false"/>
          <w:color w:val="1A1A1A"/>
          <w:sz w:val="20"/>
          <w:szCs w:val="20"/>
        </w:rPr>
        <w:t xml:space="preserve"/>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17A65" w:sz="4"/>
              <w:left w:val="single" w:color="117A65" w:sz="4"/>
              <w:bottom w:val="single" w:color="117A65" w:sz="4"/>
              <w:right w:val="single" w:color="117A65" w:sz="4"/>
            </w:tcBorders>
            <w:shd w:fill="117A65"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G-005  </w:t>
            </w:r>
            <w:r>
              <w:rPr>
                <w:rFonts w:ascii="Arial" w:cs="Arial" w:eastAsia="Arial" w:hAnsi="Arial"/>
                <w:b/>
                <w:bCs/>
                <w:i w:val="false"/>
                <w:iCs w:val="false"/>
                <w:color w:val="FFFFFF"/>
                <w:sz w:val="20"/>
                <w:szCs w:val="20"/>
              </w:rPr>
              <w:t xml:space="preserve">Privacy Notice Does Not Meet Articles 13/14 Transparency Requirements</w:t>
            </w:r>
          </w:p>
          <w:p>
            <w:pPr>
              <w:spacing w:after="60" w:before="0"/>
              <w:jc w:val="left"/>
            </w:pPr>
            <w:r>
              <w:rPr>
                <w:rFonts w:ascii="Arial" w:cs="Arial" w:eastAsia="Arial" w:hAnsi="Arial"/>
                <w:b w:val="false"/>
                <w:bCs w:val="false"/>
                <w:i w:val="false"/>
                <w:iCs w:val="false"/>
                <w:color w:val="EEF1F7"/>
                <w:sz w:val="18"/>
                <w:szCs w:val="18"/>
              </w:rPr>
              <w:t xml:space="preserve">Framework: </w:t>
            </w:r>
            <w:r>
              <w:rPr>
                <w:rFonts w:ascii="Arial" w:cs="Arial" w:eastAsia="Arial" w:hAnsi="Arial"/>
                <w:b/>
                <w:bCs/>
                <w:i w:val="false"/>
                <w:iCs w:val="false"/>
                <w:color w:val="C8A951"/>
                <w:sz w:val="18"/>
                <w:szCs w:val="18"/>
              </w:rPr>
              <w:t xml:space="preserve">UK GDPR</w:t>
            </w:r>
            <w:r>
              <w:rPr>
                <w:rFonts w:ascii="Arial" w:cs="Arial" w:eastAsia="Arial" w:hAnsi="Arial"/>
                <w:b w:val="false"/>
                <w:bCs w:val="false"/>
                <w:i w:val="false"/>
                <w:iCs w:val="false"/>
                <w:color w:val="EEF1F7"/>
                <w:sz w:val="18"/>
                <w:szCs w:val="18"/>
              </w:rPr>
              <w:t xml:space="preserve">   |   Severity: </w:t>
            </w:r>
            <w:r>
              <w:rPr>
                <w:rFonts w:ascii="Arial" w:cs="Arial" w:eastAsia="Arial" w:hAnsi="Arial"/>
                <w:b/>
                <w:bCs/>
                <w:i w:val="false"/>
                <w:iCs w:val="false"/>
                <w:color w:val="C8A951"/>
                <w:sz w:val="18"/>
                <w:szCs w:val="18"/>
              </w:rPr>
              <w:t xml:space="preserve">Medium</w:t>
            </w:r>
            <w:r>
              <w:rPr>
                <w:rFonts w:ascii="Arial" w:cs="Arial" w:eastAsia="Arial" w:hAnsi="Arial"/>
                <w:b w:val="false"/>
                <w:bCs w:val="false"/>
                <w:i w:val="false"/>
                <w:iCs w:val="false"/>
                <w:color w:val="EEF1F7"/>
                <w:sz w:val="18"/>
                <w:szCs w:val="18"/>
              </w:rPr>
              <w:t xml:space="preserve">   |   Article: </w:t>
            </w:r>
            <w:r>
              <w:rPr>
                <w:rFonts w:ascii="Arial" w:cs="Arial" w:eastAsia="Arial" w:hAnsi="Arial"/>
                <w:b w:val="false"/>
                <w:bCs w:val="false"/>
                <w:i w:val="false"/>
                <w:iCs w:val="false"/>
                <w:color w:val="EEF1F7"/>
                <w:sz w:val="18"/>
                <w:szCs w:val="18"/>
              </w:rPr>
              <w:t xml:space="preserve">Articles 13 / 14 UK GDPR</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Articles 13 and 14 UK GDPR require data controllers and processors to provide data subjects with specific information at the point of data collection. Medlink's privacy notice (last updated 2022, available on the website and referenced in the mobile app) does not include: the specific legal basis for processing health data under Article 9(2) (the notice references 'consent' generically without identifying the Article 9(2) condition); the categories of special category data processed (health data, which may include mental health records, reproductive health data, and HIV/AIDS status); details of transfers to the AWS London Region and the safeguards in place; the right to lodge a complaint with the ICO (a mandatory disclosure under Article 13(2)(d)); or the identity and contact details of the DPO (not appointed — see G-003).</w:t>
            </w:r>
          </w:p>
        </w:tc>
      </w:tr>
      <w:tr>
        <w:tc>
          <w:tcPr>
            <w:tcW w:type="dxa" w:w="2728"/>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Legal Obligation &amp; Risk</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 non-compliant privacy notice is a transparency failure under Articles 13 and 14. For special category data (health data), the transparency obligations are particularly material — data subjects must understand the basis on which their most sensitive information is being processed. The ICO has published guidance indicating that privacy notices which fail to meet the standard requirements of Articles 13/14 may be subject to enforcement action. Risk score: Likelihood 4 x Impact 3 = 12 (Medium).</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Rewrite the Medlink privacy notice to be UK GDPR-compliant, including all mandatory elements under Articles 13/14: identity and contact details of the controller and DPO; purposes and legal basis for each processing activity; Article 9(2) condition for processing health data; categories of special category data; recipients and transfers; retention periods; data subject rights (access, rectification, erasure, restriction, portability, objection); right to lodge a complaint with the ICO. Separate the patient-facing privacy notice (governing patient health data) from the website visitor / marketing privacy notice. Publish and date-stamp the updated notice. Review at least annually.</w:t>
            </w:r>
          </w:p>
        </w:tc>
      </w:tr>
    </w:tbl>
    <w:p>
      <w:pPr>
        <w:spacing w:after="40" w:before="40"/>
      </w:pPr>
      <w:r>
        <w:rPr>
          <w:rFonts w:ascii="Arial" w:cs="Arial" w:eastAsia="Arial" w:hAnsi="Arial"/>
          <w:b w:val="false"/>
          <w:bCs w:val="false"/>
          <w:i w:val="false"/>
          <w:iCs w:val="false"/>
          <w:color w:val="1A1A1A"/>
          <w:sz w:val="20"/>
          <w:szCs w:val="20"/>
        </w:rPr>
        <w:t xml:space="preserve"/>
      </w:r>
    </w:p>
    <w:p>
      <w:pPr>
        <w:pStyle w:val="Heading1"/>
        <w:pageBreakBefore/>
        <w:spacing w:after="120" w:before="280"/>
      </w:pPr>
      <w:r>
        <w:rPr>
          <w:rFonts w:ascii="Arial" w:cs="Arial" w:eastAsia="Arial" w:hAnsi="Arial"/>
          <w:b/>
          <w:bCs/>
          <w:i w:val="false"/>
          <w:iCs w:val="false"/>
          <w:color w:val="1B2A4A"/>
          <w:sz w:val="26"/>
          <w:szCs w:val="26"/>
        </w:rPr>
        <w:t xml:space="preserve">4.  DPDP Act 2023 Findings</w:t>
      </w:r>
    </w:p>
    <w:p>
      <w:pPr>
        <w:spacing w:after="80" w:before="60"/>
        <w:jc w:val="left"/>
      </w:pPr>
      <w:r>
        <w:rPr>
          <w:rFonts w:ascii="Arial" w:cs="Arial" w:eastAsia="Arial" w:hAnsi="Arial"/>
          <w:b w:val="false"/>
          <w:bCs w:val="false"/>
          <w:i w:val="false"/>
          <w:iCs w:val="false"/>
          <w:color w:val="1A1A1A"/>
          <w:sz w:val="20"/>
          <w:szCs w:val="20"/>
        </w:rPr>
        <w:t xml:space="preserve">This section presents findings against the requirements of the Digital Personal Data Protection Act 2023 (DPDP Act). Finding references prefixed 'D-' relate to DPDP Act obligations. The Act's implementing rules are pending notification; findings are assessed against the Act as enacted and publicly available consultation drafts where relevant.</w:t>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6C3483" w:sz="4"/>
              <w:left w:val="single" w:color="6C3483" w:sz="4"/>
              <w:bottom w:val="single" w:color="6C3483" w:sz="4"/>
              <w:right w:val="single" w:color="6C3483" w:sz="4"/>
            </w:tcBorders>
            <w:shd w:fill="6C3483"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D-001  </w:t>
            </w:r>
            <w:r>
              <w:rPr>
                <w:rFonts w:ascii="Arial" w:cs="Arial" w:eastAsia="Arial" w:hAnsi="Arial"/>
                <w:b/>
                <w:bCs/>
                <w:i w:val="false"/>
                <w:iCs w:val="false"/>
                <w:color w:val="FFFFFF"/>
                <w:sz w:val="20"/>
                <w:szCs w:val="20"/>
              </w:rPr>
              <w:t xml:space="preserve">Consent Mechanism Non-Compliant — No Granular Purpose-Specific Consent</w:t>
            </w:r>
          </w:p>
          <w:p>
            <w:pPr>
              <w:spacing w:after="60" w:before="0"/>
              <w:jc w:val="left"/>
            </w:pPr>
            <w:r>
              <w:rPr>
                <w:rFonts w:ascii="Arial" w:cs="Arial" w:eastAsia="Arial" w:hAnsi="Arial"/>
                <w:b w:val="false"/>
                <w:bCs w:val="false"/>
                <w:i w:val="false"/>
                <w:iCs w:val="false"/>
                <w:color w:val="EEF1F7"/>
                <w:sz w:val="18"/>
                <w:szCs w:val="18"/>
              </w:rPr>
              <w:t xml:space="preserve">Framework: </w:t>
            </w:r>
            <w:r>
              <w:rPr>
                <w:rFonts w:ascii="Arial" w:cs="Arial" w:eastAsia="Arial" w:hAnsi="Arial"/>
                <w:b/>
                <w:bCs/>
                <w:i w:val="false"/>
                <w:iCs w:val="false"/>
                <w:color w:val="C8A951"/>
                <w:sz w:val="18"/>
                <w:szCs w:val="18"/>
              </w:rPr>
              <w:t xml:space="preserve">DPDP Act 2023</w:t>
            </w:r>
            <w:r>
              <w:rPr>
                <w:rFonts w:ascii="Arial" w:cs="Arial" w:eastAsia="Arial" w:hAnsi="Arial"/>
                <w:b w:val="false"/>
                <w:bCs w:val="false"/>
                <w:i w:val="false"/>
                <w:iCs w:val="false"/>
                <w:color w:val="EEF1F7"/>
                <w:sz w:val="18"/>
                <w:szCs w:val="18"/>
              </w:rPr>
              <w:t xml:space="preserve">   |   Severity: </w:t>
            </w:r>
            <w:r>
              <w:rPr>
                <w:rFonts w:ascii="Arial" w:cs="Arial" w:eastAsia="Arial" w:hAnsi="Arial"/>
                <w:b/>
                <w:bCs/>
                <w:i w:val="false"/>
                <w:iCs w:val="false"/>
                <w:color w:val="C8A951"/>
                <w:sz w:val="18"/>
                <w:szCs w:val="18"/>
              </w:rPr>
              <w:t xml:space="preserve">Critical</w:t>
            </w:r>
            <w:r>
              <w:rPr>
                <w:rFonts w:ascii="Arial" w:cs="Arial" w:eastAsia="Arial" w:hAnsi="Arial"/>
                <w:b w:val="false"/>
                <w:bCs w:val="false"/>
                <w:i w:val="false"/>
                <w:iCs w:val="false"/>
                <w:color w:val="EEF1F7"/>
                <w:sz w:val="18"/>
                <w:szCs w:val="18"/>
              </w:rPr>
              <w:t xml:space="preserve">   |   Section: </w:t>
            </w:r>
            <w:r>
              <w:rPr>
                <w:rFonts w:ascii="Arial" w:cs="Arial" w:eastAsia="Arial" w:hAnsi="Arial"/>
                <w:b w:val="false"/>
                <w:bCs w:val="false"/>
                <w:i w:val="false"/>
                <w:iCs w:val="false"/>
                <w:color w:val="EEF1F7"/>
                <w:sz w:val="18"/>
                <w:szCs w:val="18"/>
              </w:rPr>
              <w:t xml:space="preserve">Section 6, DPDP Act 2023</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Section 6 of the DPDP Act 2023 requires that consent for the processing of personal data must be: free, specific, informed, unconditional, and unambiguous. Section 6(1) further requires that a notice must be given to the Data Principal before seeking consent, describing each purpose of processing and the personal data to be processed for that purpose. The Medlink patient-facing mobile application collects personal and health data during the registration process via a single 'I agree to Terms &amp; Privacy Policy' click-through. No separate consent notice is presented. The click-through does not identify: the distinct purposes for which data is processed (appointment management, lab result sharing, diagnostic referrals, patient communications, analytics); the specific data processed for each purpose; the right to withdraw consent for each purpose individually. This consent architecture has been in use since the platform's launch and has not been updated following the DPDP Act's enactment in August 2023.</w:t>
            </w:r>
          </w:p>
        </w:tc>
      </w:tr>
      <w:tr>
        <w:tc>
          <w:tcPr>
            <w:tcW w:type="dxa" w:w="272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Legal Obligation &amp; Risk</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Every patient onboarded to the Medlink platform since August 2023 has been registered without lawful consent under the DPDP Act. The Act's penalty framework (Section 33, Schedule) provides for fines up to INR 250 crore for failure to take reasonable security safeguards, and separate penalties for breach of duties of Data Fiduciaries. While the specific penalty amounts under Section 6 are subject to the Data Protection Board's determination, the scale of affected data subjects and the duration of the non-compliance (from August 2023 onwards) would likely be treated as aggravating factors. Risk score: Likelihood 5 x Impact 4 = 20 (Critical).</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Redesign the patient consent mechanism to comply with Section 6 DPDP Act: implement a layered consent notice that is presented before data collection; list each distinct purpose of processing with the specific data to be collected; present separate consent toggles for each purpose (mandatory purposes — e.g. appointment management — may be required but must be clearly identified as such); ensure the consent mechanism records consent individually by purpose with timestamp and version. Implement a consent withdrawal mechanism (in-app, accessible at any time) — Section 6(4) entitles Data Principals to withdraw consent as easily as it was given, and the effect of withdrawal must be actioned within a reasonable time. For existing patients, present the updated consent notice at next login with an option to review and re-consent.</w:t>
            </w:r>
          </w:p>
        </w:tc>
      </w:tr>
    </w:tbl>
    <w:p>
      <w:pPr>
        <w:spacing w:after="40" w:before="40"/>
      </w:pPr>
      <w:r>
        <w:rPr>
          <w:rFonts w:ascii="Arial" w:cs="Arial" w:eastAsia="Arial" w:hAnsi="Arial"/>
          <w:b w:val="false"/>
          <w:bCs w:val="false"/>
          <w:i w:val="false"/>
          <w:iCs w:val="false"/>
          <w:color w:val="1A1A1A"/>
          <w:sz w:val="20"/>
          <w:szCs w:val="20"/>
        </w:rPr>
        <w:t xml:space="preserve"/>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6C3483" w:sz="4"/>
              <w:left w:val="single" w:color="6C3483" w:sz="4"/>
              <w:bottom w:val="single" w:color="6C3483" w:sz="4"/>
              <w:right w:val="single" w:color="6C3483" w:sz="4"/>
            </w:tcBorders>
            <w:shd w:fill="6C3483"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D-002  </w:t>
            </w:r>
            <w:r>
              <w:rPr>
                <w:rFonts w:ascii="Arial" w:cs="Arial" w:eastAsia="Arial" w:hAnsi="Arial"/>
                <w:b/>
                <w:bCs/>
                <w:i w:val="false"/>
                <w:iCs w:val="false"/>
                <w:color w:val="FFFFFF"/>
                <w:sz w:val="20"/>
                <w:szCs w:val="20"/>
              </w:rPr>
              <w:t xml:space="preserve">No Personal Data Breach Notification Procedure</w:t>
            </w:r>
          </w:p>
          <w:p>
            <w:pPr>
              <w:spacing w:after="60" w:before="0"/>
              <w:jc w:val="left"/>
            </w:pPr>
            <w:r>
              <w:rPr>
                <w:rFonts w:ascii="Arial" w:cs="Arial" w:eastAsia="Arial" w:hAnsi="Arial"/>
                <w:b w:val="false"/>
                <w:bCs w:val="false"/>
                <w:i w:val="false"/>
                <w:iCs w:val="false"/>
                <w:color w:val="EEF1F7"/>
                <w:sz w:val="18"/>
                <w:szCs w:val="18"/>
              </w:rPr>
              <w:t xml:space="preserve">Framework: </w:t>
            </w:r>
            <w:r>
              <w:rPr>
                <w:rFonts w:ascii="Arial" w:cs="Arial" w:eastAsia="Arial" w:hAnsi="Arial"/>
                <w:b/>
                <w:bCs/>
                <w:i w:val="false"/>
                <w:iCs w:val="false"/>
                <w:color w:val="C8A951"/>
                <w:sz w:val="18"/>
                <w:szCs w:val="18"/>
              </w:rPr>
              <w:t xml:space="preserve">DPDP Act 2023</w:t>
            </w:r>
            <w:r>
              <w:rPr>
                <w:rFonts w:ascii="Arial" w:cs="Arial" w:eastAsia="Arial" w:hAnsi="Arial"/>
                <w:b w:val="false"/>
                <w:bCs w:val="false"/>
                <w:i w:val="false"/>
                <w:iCs w:val="false"/>
                <w:color w:val="EEF1F7"/>
                <w:sz w:val="18"/>
                <w:szCs w:val="18"/>
              </w:rPr>
              <w:t xml:space="preserve">   |   Severity: </w:t>
            </w:r>
            <w:r>
              <w:rPr>
                <w:rFonts w:ascii="Arial" w:cs="Arial" w:eastAsia="Arial" w:hAnsi="Arial"/>
                <w:b/>
                <w:bCs/>
                <w:i w:val="false"/>
                <w:iCs w:val="false"/>
                <w:color w:val="C8A951"/>
                <w:sz w:val="18"/>
                <w:szCs w:val="18"/>
              </w:rPr>
              <w:t xml:space="preserve">High</w:t>
            </w:r>
            <w:r>
              <w:rPr>
                <w:rFonts w:ascii="Arial" w:cs="Arial" w:eastAsia="Arial" w:hAnsi="Arial"/>
                <w:b w:val="false"/>
                <w:bCs w:val="false"/>
                <w:i w:val="false"/>
                <w:iCs w:val="false"/>
                <w:color w:val="EEF1F7"/>
                <w:sz w:val="18"/>
                <w:szCs w:val="18"/>
              </w:rPr>
              <w:t xml:space="preserve">   |   Section: </w:t>
            </w:r>
            <w:r>
              <w:rPr>
                <w:rFonts w:ascii="Arial" w:cs="Arial" w:eastAsia="Arial" w:hAnsi="Arial"/>
                <w:b w:val="false"/>
                <w:bCs w:val="false"/>
                <w:i w:val="false"/>
                <w:iCs w:val="false"/>
                <w:color w:val="EEF1F7"/>
                <w:sz w:val="18"/>
                <w:szCs w:val="18"/>
              </w:rPr>
              <w:t xml:space="preserve">Section 8(6), DPDP Act 2023</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Section 8(6) of the DPDP Act 2023 requires that a Data Fiduciary must notify the Data Protection Board and each affected Data Principal in the event of a personal data breach, in the manner and within the period prescribed. While the implementing rules under Section 8(6) are pending finalisation by the Central Government, the obligation to notify upon breach is live from the date of the Act's commencement. The MeitY consultation draft suggests a notification timeline of 72 hours to the Data Protection Board and 7 days to affected Data Principals. Medlink has no documented breach notification procedure, no defined escalation path for privacy breaches (as distinct from general IT incidents), and no template notifications for either the Data Protection Board or Data Principals. This gap is shared with ISO finding F-006 (no incident response procedure) but carries distinct regulatory consequences under the DPDP Act.</w:t>
            </w:r>
          </w:p>
        </w:tc>
      </w:tr>
      <w:tr>
        <w:tc>
          <w:tcPr>
            <w:tcW w:type="dxa" w:w="272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Legal Obligation &amp; Risk</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The obligation to notify upon a personal data breach is a live statutory requirement. The absence of a notification procedure means Medlink cannot currently meet its Section 8(6) obligations. In a breach scenario affecting Indian patient data — particularly given the F-004 gap (unencrypted S3 buckets) and F-002 (exposed credentials) — the absence of a procedure would result in delayed or missed notification to the Data Protection Board, potentially compounding the regulatory penalty. Risk score: Likelihood 3 x Impact 5 = 15 (High).</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Develop a privacy-specific breach notification procedure covering: definition of a personal data breach under the DPDP Act; internal escalation path and timeline (discovery to assessment to notification decision); Data Protection Board notification template and process; Data Principal notification template and process; assessment criteria for determining whether notification is required and to whom. Align this procedure with the GDPR breach notification procedure required under G-001/F-006 to create a unified incident response process with jurisdiction-specific notification tracks. Monitor the release of the final DPDP implementing rules and update the procedure upon rules notification.</w:t>
            </w:r>
          </w:p>
        </w:tc>
      </w:tr>
    </w:tbl>
    <w:p>
      <w:pPr>
        <w:spacing w:after="40" w:before="40"/>
      </w:pPr>
      <w:r>
        <w:rPr>
          <w:rFonts w:ascii="Arial" w:cs="Arial" w:eastAsia="Arial" w:hAnsi="Arial"/>
          <w:b w:val="false"/>
          <w:bCs w:val="false"/>
          <w:i w:val="false"/>
          <w:iCs w:val="false"/>
          <w:color w:val="1A1A1A"/>
          <w:sz w:val="20"/>
          <w:szCs w:val="20"/>
        </w:rPr>
        <w:t xml:space="preserve"/>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6C3483" w:sz="4"/>
              <w:left w:val="single" w:color="6C3483" w:sz="4"/>
              <w:bottom w:val="single" w:color="6C3483" w:sz="4"/>
              <w:right w:val="single" w:color="6C3483" w:sz="4"/>
            </w:tcBorders>
            <w:shd w:fill="6C3483"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D-003  </w:t>
            </w:r>
            <w:r>
              <w:rPr>
                <w:rFonts w:ascii="Arial" w:cs="Arial" w:eastAsia="Arial" w:hAnsi="Arial"/>
                <w:b/>
                <w:bCs/>
                <w:i w:val="false"/>
                <w:iCs w:val="false"/>
                <w:color w:val="FFFFFF"/>
                <w:sz w:val="20"/>
                <w:szCs w:val="20"/>
              </w:rPr>
              <w:t xml:space="preserve">No Data Principal Rights Mechanism</w:t>
            </w:r>
          </w:p>
          <w:p>
            <w:pPr>
              <w:spacing w:after="60" w:before="0"/>
              <w:jc w:val="left"/>
            </w:pPr>
            <w:r>
              <w:rPr>
                <w:rFonts w:ascii="Arial" w:cs="Arial" w:eastAsia="Arial" w:hAnsi="Arial"/>
                <w:b w:val="false"/>
                <w:bCs w:val="false"/>
                <w:i w:val="false"/>
                <w:iCs w:val="false"/>
                <w:color w:val="EEF1F7"/>
                <w:sz w:val="18"/>
                <w:szCs w:val="18"/>
              </w:rPr>
              <w:t xml:space="preserve">Framework: </w:t>
            </w:r>
            <w:r>
              <w:rPr>
                <w:rFonts w:ascii="Arial" w:cs="Arial" w:eastAsia="Arial" w:hAnsi="Arial"/>
                <w:b/>
                <w:bCs/>
                <w:i w:val="false"/>
                <w:iCs w:val="false"/>
                <w:color w:val="C8A951"/>
                <w:sz w:val="18"/>
                <w:szCs w:val="18"/>
              </w:rPr>
              <w:t xml:space="preserve">DPDP Act 2023</w:t>
            </w:r>
            <w:r>
              <w:rPr>
                <w:rFonts w:ascii="Arial" w:cs="Arial" w:eastAsia="Arial" w:hAnsi="Arial"/>
                <w:b w:val="false"/>
                <w:bCs w:val="false"/>
                <w:i w:val="false"/>
                <w:iCs w:val="false"/>
                <w:color w:val="EEF1F7"/>
                <w:sz w:val="18"/>
                <w:szCs w:val="18"/>
              </w:rPr>
              <w:t xml:space="preserve">   |   Severity: </w:t>
            </w:r>
            <w:r>
              <w:rPr>
                <w:rFonts w:ascii="Arial" w:cs="Arial" w:eastAsia="Arial" w:hAnsi="Arial"/>
                <w:b/>
                <w:bCs/>
                <w:i w:val="false"/>
                <w:iCs w:val="false"/>
                <w:color w:val="C8A951"/>
                <w:sz w:val="18"/>
                <w:szCs w:val="18"/>
              </w:rPr>
              <w:t xml:space="preserve">High</w:t>
            </w:r>
            <w:r>
              <w:rPr>
                <w:rFonts w:ascii="Arial" w:cs="Arial" w:eastAsia="Arial" w:hAnsi="Arial"/>
                <w:b w:val="false"/>
                <w:bCs w:val="false"/>
                <w:i w:val="false"/>
                <w:iCs w:val="false"/>
                <w:color w:val="EEF1F7"/>
                <w:sz w:val="18"/>
                <w:szCs w:val="18"/>
              </w:rPr>
              <w:t xml:space="preserve">   |   Section: </w:t>
            </w:r>
            <w:r>
              <w:rPr>
                <w:rFonts w:ascii="Arial" w:cs="Arial" w:eastAsia="Arial" w:hAnsi="Arial"/>
                <w:b w:val="false"/>
                <w:bCs w:val="false"/>
                <w:i w:val="false"/>
                <w:iCs w:val="false"/>
                <w:color w:val="EEF1F7"/>
                <w:sz w:val="18"/>
                <w:szCs w:val="18"/>
              </w:rPr>
              <w:t xml:space="preserve">Sections 11–13, DPDP Act 2023</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Sections 11 through 13 of the DPDP Act 2023 grant Data Principals four categories of rights: Section 11 — right to access a summary of personal data being processed and the processing activities; Section 12 — right to correction of inaccurate or outdated personal data, completion of incomplete data, and erasure of data that is no longer necessary or where consent has been withdrawn; Section 13 — right to grieve, including the right to nominate a nominee to exercise rights upon incapacitation. Medlink has no in-app mechanism, web portal, or documented procedure for receiving, logging, or responding to Data Principal rights requests. A single patient complaint received in January 2024 via the customer support email address — requesting deletion of their health records following withdrawal from a clinic — was not formally responded to and remains unresolved as of the assessment date.</w:t>
            </w:r>
          </w:p>
        </w:tc>
      </w:tr>
      <w:tr>
        <w:tc>
          <w:tcPr>
            <w:tcW w:type="dxa" w:w="272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Legal Obligation &amp; Risk</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The inability to fulfil Data Principal rights requests is a direct non-compliance with Sections 11–13 of the DPDP Act. The unresolved January 2024 erasure request represents an existing rights failure. The DPDP Act's grievance mechanism (Section 13(3)) requires that a Grievance Officer be designated to respond to complaints — the absence of this role (D-004) compounds the rights fulfilment failure. Risk score: Likelihood 4 x Impact 4 = 16 (High).</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Implement a Data Principal rights management process: (a) publish a rights request mechanism — at minimum, a dedicated email address and in-app request form; (b) develop internal procedures for receiving, logging, assessing, and responding to rights requests within a defined timeline (30 days recommended, consistent with GDPR's Article 12 one-month standard); (c) align access, correction, and erasure fulfilment with the data architecture — specifically, ensure the EMR database schema supports selective erasure without compromising the integrity of other patients' records; (d) resolve the outstanding January 2024 erasure request immediately. Designate the Grievance Officer (D-004) as the point of contact for rights requests.</w:t>
            </w:r>
          </w:p>
        </w:tc>
      </w:tr>
    </w:tbl>
    <w:p>
      <w:pPr>
        <w:spacing w:after="40" w:before="40"/>
      </w:pPr>
      <w:r>
        <w:rPr>
          <w:rFonts w:ascii="Arial" w:cs="Arial" w:eastAsia="Arial" w:hAnsi="Arial"/>
          <w:b w:val="false"/>
          <w:bCs w:val="false"/>
          <w:i w:val="false"/>
          <w:iCs w:val="false"/>
          <w:color w:val="1A1A1A"/>
          <w:sz w:val="20"/>
          <w:szCs w:val="20"/>
        </w:rPr>
        <w:t xml:space="preserve"/>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6C3483" w:sz="4"/>
              <w:left w:val="single" w:color="6C3483" w:sz="4"/>
              <w:bottom w:val="single" w:color="6C3483" w:sz="4"/>
              <w:right w:val="single" w:color="6C3483" w:sz="4"/>
            </w:tcBorders>
            <w:shd w:fill="6C3483"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D-004  </w:t>
            </w:r>
            <w:r>
              <w:rPr>
                <w:rFonts w:ascii="Arial" w:cs="Arial" w:eastAsia="Arial" w:hAnsi="Arial"/>
                <w:b/>
                <w:bCs/>
                <w:i w:val="false"/>
                <w:iCs w:val="false"/>
                <w:color w:val="FFFFFF"/>
                <w:sz w:val="20"/>
                <w:szCs w:val="20"/>
              </w:rPr>
              <w:t xml:space="preserve">No Grievance Officer Appointed or Published</w:t>
            </w:r>
          </w:p>
          <w:p>
            <w:pPr>
              <w:spacing w:after="60" w:before="0"/>
              <w:jc w:val="left"/>
            </w:pPr>
            <w:r>
              <w:rPr>
                <w:rFonts w:ascii="Arial" w:cs="Arial" w:eastAsia="Arial" w:hAnsi="Arial"/>
                <w:b w:val="false"/>
                <w:bCs w:val="false"/>
                <w:i w:val="false"/>
                <w:iCs w:val="false"/>
                <w:color w:val="EEF1F7"/>
                <w:sz w:val="18"/>
                <w:szCs w:val="18"/>
              </w:rPr>
              <w:t xml:space="preserve">Framework: </w:t>
            </w:r>
            <w:r>
              <w:rPr>
                <w:rFonts w:ascii="Arial" w:cs="Arial" w:eastAsia="Arial" w:hAnsi="Arial"/>
                <w:b/>
                <w:bCs/>
                <w:i w:val="false"/>
                <w:iCs w:val="false"/>
                <w:color w:val="C8A951"/>
                <w:sz w:val="18"/>
                <w:szCs w:val="18"/>
              </w:rPr>
              <w:t xml:space="preserve">DPDP Act 2023</w:t>
            </w:r>
            <w:r>
              <w:rPr>
                <w:rFonts w:ascii="Arial" w:cs="Arial" w:eastAsia="Arial" w:hAnsi="Arial"/>
                <w:b w:val="false"/>
                <w:bCs w:val="false"/>
                <w:i w:val="false"/>
                <w:iCs w:val="false"/>
                <w:color w:val="EEF1F7"/>
                <w:sz w:val="18"/>
                <w:szCs w:val="18"/>
              </w:rPr>
              <w:t xml:space="preserve">   |   Severity: </w:t>
            </w:r>
            <w:r>
              <w:rPr>
                <w:rFonts w:ascii="Arial" w:cs="Arial" w:eastAsia="Arial" w:hAnsi="Arial"/>
                <w:b/>
                <w:bCs/>
                <w:i w:val="false"/>
                <w:iCs w:val="false"/>
                <w:color w:val="C8A951"/>
                <w:sz w:val="18"/>
                <w:szCs w:val="18"/>
              </w:rPr>
              <w:t xml:space="preserve">Medium</w:t>
            </w:r>
            <w:r>
              <w:rPr>
                <w:rFonts w:ascii="Arial" w:cs="Arial" w:eastAsia="Arial" w:hAnsi="Arial"/>
                <w:b w:val="false"/>
                <w:bCs w:val="false"/>
                <w:i w:val="false"/>
                <w:iCs w:val="false"/>
                <w:color w:val="EEF1F7"/>
                <w:sz w:val="18"/>
                <w:szCs w:val="18"/>
              </w:rPr>
              <w:t xml:space="preserve">   |   Section: </w:t>
            </w:r>
            <w:r>
              <w:rPr>
                <w:rFonts w:ascii="Arial" w:cs="Arial" w:eastAsia="Arial" w:hAnsi="Arial"/>
                <w:b w:val="false"/>
                <w:bCs w:val="false"/>
                <w:i w:val="false"/>
                <w:iCs w:val="false"/>
                <w:color w:val="EEF1F7"/>
                <w:sz w:val="18"/>
                <w:szCs w:val="18"/>
              </w:rPr>
              <w:t xml:space="preserve">Section 13(3), DPDP Act 2023</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Section 13(3) of the DPDP Act 2023 requires every Data Fiduciary to establish and publish the contact details of a Grievance Officer to whom Data Principals may direct complaints and to whom the Grievance Officer must respond within a period as prescribed. No Grievance Officer has been appointed at Medlink. The privacy notice does not contain any Grievance Officer contact details. The customer support email address is the only formal contact mechanism for patients, and it is not designated or staffed for privacy grievance handling.</w:t>
            </w:r>
          </w:p>
        </w:tc>
      </w:tr>
      <w:tr>
        <w:tc>
          <w:tcPr>
            <w:tcW w:type="dxa" w:w="2728"/>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Legal Obligation &amp; Risk</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The Grievance Officer requirement is a structural compliance obligation under the DPDP Act. Its absence means Data Principals have no designated contact for exercising rights (compounding D-003) and no escalation path. The absence also reinforces the broader accountability gap — no individual at Medlink holds formal privacy accountability. Risk score: Likelihood 4 x Impact 3 = 12 (Medium).</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Appoint a named individual as Grievance Officer under Section 13(3) DPDP Act. The role may be held concurrently with the UK GDPR DPO function (G-003) if the appointee has appropriate expertise in both frameworks, or by a separate individual. Publish the Grievance Officer's name and contact details (email address at minimum) in the Medlink privacy notice and within the patient-facing mobile application. Implement a procedure for the Grievance Officer to receive, log, and respond to complaints within the prescribed period (to be confirmed when implementing rules are notified).</w:t>
            </w:r>
          </w:p>
        </w:tc>
      </w:tr>
    </w:tbl>
    <w:p>
      <w:pPr>
        <w:spacing w:after="40" w:before="40"/>
      </w:pPr>
      <w:r>
        <w:rPr>
          <w:rFonts w:ascii="Arial" w:cs="Arial" w:eastAsia="Arial" w:hAnsi="Arial"/>
          <w:b w:val="false"/>
          <w:bCs w:val="false"/>
          <w:i w:val="false"/>
          <w:iCs w:val="false"/>
          <w:color w:val="1A1A1A"/>
          <w:sz w:val="20"/>
          <w:szCs w:val="20"/>
        </w:rPr>
        <w:t xml:space="preserve"/>
      </w:r>
    </w:p>
    <w:p>
      <w:pPr>
        <w:pStyle w:val="Heading1"/>
        <w:pageBreakBefore/>
        <w:spacing w:after="120" w:before="280"/>
      </w:pPr>
      <w:r>
        <w:rPr>
          <w:rFonts w:ascii="Arial" w:cs="Arial" w:eastAsia="Arial" w:hAnsi="Arial"/>
          <w:b/>
          <w:bCs/>
          <w:i w:val="false"/>
          <w:iCs w:val="false"/>
          <w:color w:val="1B2A4A"/>
          <w:sz w:val="26"/>
          <w:szCs w:val="26"/>
        </w:rPr>
        <w:t xml:space="preserve">5.  Cross-Jurisdictional Tensions and Compliance Architecture</w:t>
      </w:r>
    </w:p>
    <w:p>
      <w:pPr>
        <w:spacing w:after="80" w:before="60"/>
        <w:jc w:val="left"/>
      </w:pPr>
      <w:r>
        <w:rPr>
          <w:rFonts w:ascii="Arial" w:cs="Arial" w:eastAsia="Arial" w:hAnsi="Arial"/>
          <w:b w:val="false"/>
          <w:bCs w:val="false"/>
          <w:i w:val="false"/>
          <w:iCs w:val="false"/>
          <w:color w:val="1A1A1A"/>
          <w:sz w:val="20"/>
          <w:szCs w:val="20"/>
        </w:rPr>
        <w:t xml:space="preserve">Operating under two privacy regimes simultaneously creates compliance tensions in areas where the two frameworks diverge. This section identifies three specific tension points that Medlink must address through deliberate compliance architecture design. Understanding and resolving these tensions is essential before implementing the remediation actions from Sections 3 and 4.</w:t>
      </w:r>
    </w:p>
    <w:p>
      <w:pPr>
        <w:pStyle w:val="Heading2"/>
        <w:spacing w:after="80" w:before="200"/>
      </w:pPr>
      <w:r>
        <w:rPr>
          <w:rFonts w:ascii="Arial" w:cs="Arial" w:eastAsia="Arial" w:hAnsi="Arial"/>
          <w:b/>
          <w:bCs/>
          <w:i w:val="false"/>
          <w:iCs w:val="false"/>
          <w:color w:val="1B2A4A"/>
          <w:sz w:val="22"/>
          <w:szCs w:val="22"/>
        </w:rPr>
        <w:t xml:space="preserve">5.1  Breach Notification — Dual-Track Obligation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Tension: Different notification recipients and timelines under each framework</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Under UK GDPR Article 33, Medlink must notify the ICO within 72 hours of becoming aware of a personal data breach that is likely to result in risk to the rights and freedoms of individuals — specifically, UK data subjects. Under DPDP Act Section 8(6), Medlink must notify the Data Protection Board of India upon becoming aware of a personal data breach affecting Indian Data Principals. The draft implementing rules suggest a 72-hour timeline to the Board and a separate 7-day timeline for notification to affected Data Principals.
A single breach affecting both UK and Indian patient data — a realistic scenario given that both populations' data resides on Medlink's platform (in different AWS regions) — would simultaneously trigger two parallel notification obligations: to the ICO (UK, within 72 hours) and to the DPB (India, within 72 hours). The content requirements differ: ICO notification must include nature of the breach, categories and approximate number of data subjects, likely consequences, and measures taken. DPB notification requirements are to be prescribed in rules.
Resolution: Design the incident response procedure (F-006 / D-002) with a jurisdiction determination step: at the point of breach classification, the IR Lead must determine which patient populations are affected and activate the corresponding notification track(s). Template notifications for both the ICO and DPB should be prepared. The 72-hour clock for ICO notification begins at the point of 'becoming aware' — which is typically when the organisation first has reasonable certainty that a breach has occurred, not at the point of full investigation completion. The internal escalation process must be designed to surface potential breaches to the IR Lead within hours of discovery.</w:t>
            </w:r>
          </w:p>
        </w:tc>
      </w:tr>
    </w:tbl>
    <w:p>
      <w:pPr>
        <w:spacing w:after="60" w:before="6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B2A4A"/>
          <w:sz w:val="22"/>
          <w:szCs w:val="22"/>
        </w:rPr>
        <w:t xml:space="preserve">5.2  Consent Legal Basis — Different Standards for the Same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Tension: UK GDPR permits multiple Article 9 bases; DPDP Act requires purpose-specific consent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Under UK GDPR Article 9, processing of special category data (health data) requires both a lawful basis under Article 6 and a specific condition under Article 9(2). For healthcare processing, the most relevant conditions are: Article 9(2)(a) — explicit consent; Article 9(2)(h) — processing for the purposes of preventive or occupational medicine, medical diagnosis, provision of health care or treatment. UK clinic clients, as data controllers, may legitimately rely on Article 9(2)(h) for the core treatment purpose, which does not require fresh explicit consent from patients. Medlink, as processor, does not need to separately establish an Article 9 basis but must process in accordance with the controller's instructions.
Under DPDP Act Section 6, consent is the primary lawful basis for processing personal data of Indian patients. The Act's consent standard is more prescriptive than GDPR's: it requires a separate notice for each purpose, with individual consent toggles. There is no equivalent to Article 9(2)(h) in the DPDP Act — health data is not separately categorised, and the standard consent requirement applies.
Resolution: Medlink must implement a two-layer consent architecture. For UK patient data: the legal basis is established at the controller level (UK clinic) and Medlink processes as processor — no separate patient consent action required from Medlink directly, but the DPA (G-001) must document this arrangement. For Indian patient data: Medlink as Data Fiduciary must obtain granular purpose-specific consent (D-001 remediation). The same data flows require different legal basis documentation depending on the patient's jurisdiction. This distinction must be built into the data architecture: the platform must identify the patient's jurisdiction at registration and apply the corresponding consent and processing framework.</w:t>
            </w:r>
          </w:p>
        </w:tc>
      </w:tr>
    </w:tbl>
    <w:p>
      <w:pPr>
        <w:spacing w:after="60" w:before="6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B2A4A"/>
          <w:sz w:val="22"/>
          <w:szCs w:val="22"/>
        </w:rPr>
        <w:t xml:space="preserve">5.3  Data Retention — Minimum Floor vs Maximum Ceiling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Tension: Healthcare retention minimums vs GDPR/DPDP storage limitation maximums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Both UK GDPR (Article 5(1)(e) storage limitation) and DPDP Act (Section 8(7) — data not retained beyond the necessary period) impose a maximum retention limit: personal data must not be kept longer than necessary for its purpose. However, healthcare records are subject to mandatory minimum retention requirements under Indian law: the Medical Council of India's guidelines recommend a minimum of 5 years for clinical records from the date of last interaction (some categories, such as patient case papers, are recommended for 7 years). UK NHS retention schedules specify minimum retention periods of 8 years for adult patient records.
This creates a retention band: records must be kept for the statutory minimum (MCI minimum: 5–7 years; NHS: 8 years for UK patient records) but must be deleted no later than the maximum ceiling defined by GDPR/DPDP principles of necessity. There is no single retention period that satisfies all obligations — the correct period depends on the patient's jurisdiction, the record type, and the purpose.
Resolution: Develop a data retention schedule (G-004 remediation) that defines retention periods by: (a) data category (clinical records, billing data, diagnostic attachments, communications); (b) patient jurisdiction (UK patients subject to NHS retention schedules; Indian patients subject to MCI minimums and DPDP maximum); (c) processing purpose (treatment records vs analytics vs communications). For UK patient records: minimum 8 years per NHS retention schedule; for Indian patient records: minimum 5–7 years per MCI guidelines. Records must be securely deleted or anonymised at the end of the applicable period. The retention schedule should be reviewed by qualified legal counsel before implementation given the multiple overlapping legal requirements.</w:t>
            </w:r>
          </w:p>
        </w:tc>
      </w:tr>
    </w:tbl>
    <w:p>
      <w:pPr>
        <w:spacing w:after="60" w:before="60"/>
      </w:pPr>
      <w:r>
        <w:rPr>
          <w:rFonts w:ascii="Arial" w:cs="Arial" w:eastAsia="Arial" w:hAnsi="Arial"/>
          <w:b w:val="false"/>
          <w:bCs w:val="false"/>
          <w:i w:val="false"/>
          <w:iCs w:val="false"/>
          <w:color w:val="1A1A1A"/>
          <w:sz w:val="20"/>
          <w:szCs w:val="20"/>
        </w:rPr>
        <w:t xml:space="preserve"/>
      </w:r>
    </w:p>
    <w:p>
      <w:pPr>
        <w:pStyle w:val="Heading1"/>
        <w:pageBreakBefore/>
        <w:spacing w:after="120" w:before="280"/>
      </w:pPr>
      <w:r>
        <w:rPr>
          <w:rFonts w:ascii="Arial" w:cs="Arial" w:eastAsia="Arial" w:hAnsi="Arial"/>
          <w:b/>
          <w:bCs/>
          <w:i w:val="false"/>
          <w:iCs w:val="false"/>
          <w:color w:val="1B2A4A"/>
          <w:sz w:val="26"/>
          <w:szCs w:val="26"/>
        </w:rPr>
        <w:t xml:space="preserve">6.  Findings Register Summary</w:t>
      </w:r>
    </w:p>
    <w:p>
      <w:pPr>
        <w:spacing w:after="60" w:before="60"/>
        <w:jc w:val="left"/>
      </w:pPr>
      <w:r>
        <w:rPr>
          <w:rFonts w:ascii="Arial" w:cs="Arial" w:eastAsia="Arial" w:hAnsi="Arial"/>
          <w:b w:val="false"/>
          <w:bCs w:val="false"/>
          <w:i w:val="false"/>
          <w:iCs w:val="false"/>
          <w:color w:val="1A1A1A"/>
          <w:sz w:val="20"/>
          <w:szCs w:val="20"/>
        </w:rPr>
        <w:t xml:space="preserve">The table below summarises all privacy compliance findings from this assessment. UK GDPR findings are indicated in teal; DPDP Act findings are indicated in purple. Detailed finding descriptions are set out in Sections 3 and 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216"/>
        <w:gridCol w:w="1754"/>
        <w:gridCol w:w="1949"/>
        <w:gridCol w:w="1853"/>
      </w:tblGrid>
      <w:tr>
        <w:tc>
          <w:tcPr>
            <w:tcW w:type="dxa" w:w="974"/>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19"/>
                <w:szCs w:val="19"/>
              </w:rPr>
              <w:t xml:space="preserve">Ref</w:t>
            </w:r>
          </w:p>
        </w:tc>
        <w:tc>
          <w:tcPr>
            <w:tcW w:type="dxa" w:w="321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19"/>
                <w:szCs w:val="19"/>
              </w:rPr>
              <w:t xml:space="preserve">Finding</w:t>
            </w:r>
          </w:p>
        </w:tc>
        <w:tc>
          <w:tcPr>
            <w:tcW w:type="dxa" w:w="1754"/>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19"/>
                <w:szCs w:val="19"/>
              </w:rPr>
              <w:t xml:space="preserve">Framework</w:t>
            </w:r>
          </w:p>
        </w:tc>
        <w:tc>
          <w:tcPr>
            <w:tcW w:type="dxa" w:w="1949"/>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19"/>
                <w:szCs w:val="19"/>
              </w:rPr>
              <w:t xml:space="preserve">Provision</w:t>
            </w:r>
          </w:p>
        </w:tc>
        <w:tc>
          <w:tcPr>
            <w:tcW w:type="dxa" w:w="1853"/>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19"/>
                <w:szCs w:val="19"/>
              </w:rPr>
              <w:t xml:space="preserve">Severity</w:t>
            </w:r>
          </w:p>
        </w:tc>
      </w:tr>
      <w:tr>
        <w:tc>
          <w:tcPr>
            <w:tcW w:type="dxa" w:w="974"/>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17A65"/>
                <w:sz w:val="19"/>
                <w:szCs w:val="19"/>
              </w:rPr>
              <w:t xml:space="preserve">G-001</w:t>
            </w:r>
          </w:p>
        </w:tc>
        <w:tc>
          <w:tcPr>
            <w:tcW w:type="dxa" w:w="321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No Article 28 DPAs with UK Clinic Clients</w:t>
            </w:r>
          </w:p>
        </w:tc>
        <w:tc>
          <w:tcPr>
            <w:tcW w:type="dxa" w:w="1754"/>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17A65"/>
                <w:sz w:val="19"/>
                <w:szCs w:val="19"/>
              </w:rPr>
              <w:t xml:space="preserve">UK GDPR</w:t>
            </w:r>
          </w:p>
        </w:tc>
        <w:tc>
          <w:tcPr>
            <w:tcW w:type="dxa" w:w="194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Art. 28</w:t>
            </w:r>
          </w:p>
        </w:tc>
        <w:tc>
          <w:tcPr>
            <w:tcW w:type="dxa" w:w="1853"/>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9"/>
                <w:szCs w:val="19"/>
              </w:rPr>
              <w:t xml:space="preserve">Critical</w:t>
            </w:r>
          </w:p>
        </w:tc>
      </w:tr>
      <w:tr>
        <w:tc>
          <w:tcPr>
            <w:tcW w:type="dxa" w:w="974"/>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17A65"/>
                <w:sz w:val="19"/>
                <w:szCs w:val="19"/>
              </w:rPr>
              <w:t xml:space="preserve">G-002</w:t>
            </w:r>
          </w:p>
        </w:tc>
        <w:tc>
          <w:tcPr>
            <w:tcW w:type="dxa" w:w="321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No DPIA for Core Processing Activity</w:t>
            </w:r>
          </w:p>
        </w:tc>
        <w:tc>
          <w:tcPr>
            <w:tcW w:type="dxa" w:w="1754"/>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17A65"/>
                <w:sz w:val="19"/>
                <w:szCs w:val="19"/>
              </w:rPr>
              <w:t xml:space="preserve">UK GDPR</w:t>
            </w:r>
          </w:p>
        </w:tc>
        <w:tc>
          <w:tcPr>
            <w:tcW w:type="dxa" w:w="194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Art. 35</w:t>
            </w:r>
          </w:p>
        </w:tc>
        <w:tc>
          <w:tcPr>
            <w:tcW w:type="dxa" w:w="1853"/>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9"/>
                <w:szCs w:val="19"/>
              </w:rPr>
              <w:t xml:space="preserve">Critical</w:t>
            </w:r>
          </w:p>
        </w:tc>
      </w:tr>
      <w:tr>
        <w:tc>
          <w:tcPr>
            <w:tcW w:type="dxa" w:w="974"/>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17A65"/>
                <w:sz w:val="19"/>
                <w:szCs w:val="19"/>
              </w:rPr>
              <w:t xml:space="preserve">G-003</w:t>
            </w:r>
          </w:p>
        </w:tc>
        <w:tc>
          <w:tcPr>
            <w:tcW w:type="dxa" w:w="321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No Data Protection Officer Appointed</w:t>
            </w:r>
          </w:p>
        </w:tc>
        <w:tc>
          <w:tcPr>
            <w:tcW w:type="dxa" w:w="1754"/>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17A65"/>
                <w:sz w:val="19"/>
                <w:szCs w:val="19"/>
              </w:rPr>
              <w:t xml:space="preserve">UK GDPR</w:t>
            </w:r>
          </w:p>
        </w:tc>
        <w:tc>
          <w:tcPr>
            <w:tcW w:type="dxa" w:w="194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Art. 37</w:t>
            </w:r>
          </w:p>
        </w:tc>
        <w:tc>
          <w:tcPr>
            <w:tcW w:type="dxa" w:w="1853"/>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9"/>
                <w:szCs w:val="19"/>
              </w:rPr>
              <w:t xml:space="preserve">High</w:t>
            </w:r>
          </w:p>
        </w:tc>
      </w:tr>
      <w:tr>
        <w:tc>
          <w:tcPr>
            <w:tcW w:type="dxa" w:w="974"/>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17A65"/>
                <w:sz w:val="19"/>
                <w:szCs w:val="19"/>
              </w:rPr>
              <w:t xml:space="preserve">G-004</w:t>
            </w:r>
          </w:p>
        </w:tc>
        <w:tc>
          <w:tcPr>
            <w:tcW w:type="dxa" w:w="321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No Retention Schedule; Terminated Client Data Retained</w:t>
            </w:r>
          </w:p>
        </w:tc>
        <w:tc>
          <w:tcPr>
            <w:tcW w:type="dxa" w:w="1754"/>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17A65"/>
                <w:sz w:val="19"/>
                <w:szCs w:val="19"/>
              </w:rPr>
              <w:t xml:space="preserve">UK GDPR</w:t>
            </w:r>
          </w:p>
        </w:tc>
        <w:tc>
          <w:tcPr>
            <w:tcW w:type="dxa" w:w="194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Art. 5(1)(e)</w:t>
            </w:r>
          </w:p>
        </w:tc>
        <w:tc>
          <w:tcPr>
            <w:tcW w:type="dxa" w:w="1853"/>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9"/>
                <w:szCs w:val="19"/>
              </w:rPr>
              <w:t xml:space="preserve">High</w:t>
            </w:r>
          </w:p>
        </w:tc>
      </w:tr>
      <w:tr>
        <w:tc>
          <w:tcPr>
            <w:tcW w:type="dxa" w:w="974"/>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17A65"/>
                <w:sz w:val="19"/>
                <w:szCs w:val="19"/>
              </w:rPr>
              <w:t xml:space="preserve">G-005</w:t>
            </w:r>
          </w:p>
        </w:tc>
        <w:tc>
          <w:tcPr>
            <w:tcW w:type="dxa" w:w="321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Privacy Notice Non-Compliant with Arts. 13/14</w:t>
            </w:r>
          </w:p>
        </w:tc>
        <w:tc>
          <w:tcPr>
            <w:tcW w:type="dxa" w:w="1754"/>
            <w:tcBorders>
              <w:top w:val="single" w:color="CCCCCC" w:sz="4"/>
              <w:left w:val="single" w:color="CCCCCC" w:sz="4"/>
              <w:bottom w:val="single" w:color="CCCCCC" w:sz="4"/>
              <w:right w:val="single" w:color="CCCCCC" w:sz="4"/>
            </w:tcBorders>
            <w:shd w:fill="E8F8F5"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17A65"/>
                <w:sz w:val="19"/>
                <w:szCs w:val="19"/>
              </w:rPr>
              <w:t xml:space="preserve">UK GDPR</w:t>
            </w:r>
          </w:p>
        </w:tc>
        <w:tc>
          <w:tcPr>
            <w:tcW w:type="dxa" w:w="194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Arts. 13 / 14</w:t>
            </w:r>
          </w:p>
        </w:tc>
        <w:tc>
          <w:tcPr>
            <w:tcW w:type="dxa" w:w="1853"/>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68910"/>
                <w:sz w:val="19"/>
                <w:szCs w:val="19"/>
              </w:rPr>
              <w:t xml:space="preserve">Medium</w:t>
            </w:r>
          </w:p>
        </w:tc>
      </w:tr>
      <w:tr>
        <w:tc>
          <w:tcPr>
            <w:tcW w:type="dxa" w:w="974"/>
            <w:tcBorders>
              <w:top w:val="single" w:color="CCCCCC" w:sz="4"/>
              <w:left w:val="single" w:color="CCCCCC" w:sz="4"/>
              <w:bottom w:val="single" w:color="CCCCCC" w:sz="4"/>
              <w:right w:val="single" w:color="CCCCCC" w:sz="4"/>
            </w:tcBorders>
            <w:shd w:fill="F4EC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6C3483"/>
                <w:sz w:val="19"/>
                <w:szCs w:val="19"/>
              </w:rPr>
              <w:t xml:space="preserve">D-001</w:t>
            </w:r>
          </w:p>
        </w:tc>
        <w:tc>
          <w:tcPr>
            <w:tcW w:type="dxa" w:w="321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Consent Mechanism Non-Compliant — No Granular Consent</w:t>
            </w:r>
          </w:p>
        </w:tc>
        <w:tc>
          <w:tcPr>
            <w:tcW w:type="dxa" w:w="1754"/>
            <w:tcBorders>
              <w:top w:val="single" w:color="CCCCCC" w:sz="4"/>
              <w:left w:val="single" w:color="CCCCCC" w:sz="4"/>
              <w:bottom w:val="single" w:color="CCCCCC" w:sz="4"/>
              <w:right w:val="single" w:color="CCCCCC" w:sz="4"/>
            </w:tcBorders>
            <w:shd w:fill="F4EC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6C3483"/>
                <w:sz w:val="19"/>
                <w:szCs w:val="19"/>
              </w:rPr>
              <w:t xml:space="preserve">DPDP Act</w:t>
            </w:r>
          </w:p>
        </w:tc>
        <w:tc>
          <w:tcPr>
            <w:tcW w:type="dxa" w:w="194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Section 6</w:t>
            </w:r>
          </w:p>
        </w:tc>
        <w:tc>
          <w:tcPr>
            <w:tcW w:type="dxa" w:w="1853"/>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9"/>
                <w:szCs w:val="19"/>
              </w:rPr>
              <w:t xml:space="preserve">Critical</w:t>
            </w:r>
          </w:p>
        </w:tc>
      </w:tr>
      <w:tr>
        <w:tc>
          <w:tcPr>
            <w:tcW w:type="dxa" w:w="974"/>
            <w:tcBorders>
              <w:top w:val="single" w:color="CCCCCC" w:sz="4"/>
              <w:left w:val="single" w:color="CCCCCC" w:sz="4"/>
              <w:bottom w:val="single" w:color="CCCCCC" w:sz="4"/>
              <w:right w:val="single" w:color="CCCCCC" w:sz="4"/>
            </w:tcBorders>
            <w:shd w:fill="F4EC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6C3483"/>
                <w:sz w:val="19"/>
                <w:szCs w:val="19"/>
              </w:rPr>
              <w:t xml:space="preserve">D-002</w:t>
            </w:r>
          </w:p>
        </w:tc>
        <w:tc>
          <w:tcPr>
            <w:tcW w:type="dxa" w:w="321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No Personal Data Breach Notification Procedure</w:t>
            </w:r>
          </w:p>
        </w:tc>
        <w:tc>
          <w:tcPr>
            <w:tcW w:type="dxa" w:w="1754"/>
            <w:tcBorders>
              <w:top w:val="single" w:color="CCCCCC" w:sz="4"/>
              <w:left w:val="single" w:color="CCCCCC" w:sz="4"/>
              <w:bottom w:val="single" w:color="CCCCCC" w:sz="4"/>
              <w:right w:val="single" w:color="CCCCCC" w:sz="4"/>
            </w:tcBorders>
            <w:shd w:fill="F4EC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6C3483"/>
                <w:sz w:val="19"/>
                <w:szCs w:val="19"/>
              </w:rPr>
              <w:t xml:space="preserve">DPDP Act</w:t>
            </w:r>
          </w:p>
        </w:tc>
        <w:tc>
          <w:tcPr>
            <w:tcW w:type="dxa" w:w="194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Section 8(6)</w:t>
            </w:r>
          </w:p>
        </w:tc>
        <w:tc>
          <w:tcPr>
            <w:tcW w:type="dxa" w:w="1853"/>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9"/>
                <w:szCs w:val="19"/>
              </w:rPr>
              <w:t xml:space="preserve">High</w:t>
            </w:r>
          </w:p>
        </w:tc>
      </w:tr>
      <w:tr>
        <w:tc>
          <w:tcPr>
            <w:tcW w:type="dxa" w:w="974"/>
            <w:tcBorders>
              <w:top w:val="single" w:color="CCCCCC" w:sz="4"/>
              <w:left w:val="single" w:color="CCCCCC" w:sz="4"/>
              <w:bottom w:val="single" w:color="CCCCCC" w:sz="4"/>
              <w:right w:val="single" w:color="CCCCCC" w:sz="4"/>
            </w:tcBorders>
            <w:shd w:fill="F4EC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6C3483"/>
                <w:sz w:val="19"/>
                <w:szCs w:val="19"/>
              </w:rPr>
              <w:t xml:space="preserve">D-003</w:t>
            </w:r>
          </w:p>
        </w:tc>
        <w:tc>
          <w:tcPr>
            <w:tcW w:type="dxa" w:w="321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No Data Principal Rights Mechanism</w:t>
            </w:r>
          </w:p>
        </w:tc>
        <w:tc>
          <w:tcPr>
            <w:tcW w:type="dxa" w:w="1754"/>
            <w:tcBorders>
              <w:top w:val="single" w:color="CCCCCC" w:sz="4"/>
              <w:left w:val="single" w:color="CCCCCC" w:sz="4"/>
              <w:bottom w:val="single" w:color="CCCCCC" w:sz="4"/>
              <w:right w:val="single" w:color="CCCCCC" w:sz="4"/>
            </w:tcBorders>
            <w:shd w:fill="F4EC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6C3483"/>
                <w:sz w:val="19"/>
                <w:szCs w:val="19"/>
              </w:rPr>
              <w:t xml:space="preserve">DPDP Act</w:t>
            </w:r>
          </w:p>
        </w:tc>
        <w:tc>
          <w:tcPr>
            <w:tcW w:type="dxa" w:w="194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Secs. 11–13</w:t>
            </w:r>
          </w:p>
        </w:tc>
        <w:tc>
          <w:tcPr>
            <w:tcW w:type="dxa" w:w="1853"/>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9"/>
                <w:szCs w:val="19"/>
              </w:rPr>
              <w:t xml:space="preserve">High</w:t>
            </w:r>
          </w:p>
        </w:tc>
      </w:tr>
      <w:tr>
        <w:tc>
          <w:tcPr>
            <w:tcW w:type="dxa" w:w="974"/>
            <w:tcBorders>
              <w:top w:val="single" w:color="CCCCCC" w:sz="4"/>
              <w:left w:val="single" w:color="CCCCCC" w:sz="4"/>
              <w:bottom w:val="single" w:color="CCCCCC" w:sz="4"/>
              <w:right w:val="single" w:color="CCCCCC" w:sz="4"/>
            </w:tcBorders>
            <w:shd w:fill="F4EC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6C3483"/>
                <w:sz w:val="19"/>
                <w:szCs w:val="19"/>
              </w:rPr>
              <w:t xml:space="preserve">D-004</w:t>
            </w:r>
          </w:p>
        </w:tc>
        <w:tc>
          <w:tcPr>
            <w:tcW w:type="dxa" w:w="321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No Grievance Officer Appointed or Published</w:t>
            </w:r>
          </w:p>
        </w:tc>
        <w:tc>
          <w:tcPr>
            <w:tcW w:type="dxa" w:w="1754"/>
            <w:tcBorders>
              <w:top w:val="single" w:color="CCCCCC" w:sz="4"/>
              <w:left w:val="single" w:color="CCCCCC" w:sz="4"/>
              <w:bottom w:val="single" w:color="CCCCCC" w:sz="4"/>
              <w:right w:val="single" w:color="CCCCCC" w:sz="4"/>
            </w:tcBorders>
            <w:shd w:fill="F4EC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6C3483"/>
                <w:sz w:val="19"/>
                <w:szCs w:val="19"/>
              </w:rPr>
              <w:t xml:space="preserve">DPDP Act</w:t>
            </w:r>
          </w:p>
        </w:tc>
        <w:tc>
          <w:tcPr>
            <w:tcW w:type="dxa" w:w="194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Section 13(3)</w:t>
            </w:r>
          </w:p>
        </w:tc>
        <w:tc>
          <w:tcPr>
            <w:tcW w:type="dxa" w:w="1853"/>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68910"/>
                <w:sz w:val="19"/>
                <w:szCs w:val="19"/>
              </w:rPr>
              <w:t xml:space="preserve">Medium</w:t>
            </w:r>
          </w:p>
        </w:tc>
      </w:tr>
    </w:tbl>
    <w:p>
      <w:pPr>
        <w:pStyle w:val="Heading1"/>
        <w:pageBreakBefore/>
        <w:spacing w:after="120" w:before="280"/>
      </w:pPr>
      <w:r>
        <w:rPr>
          <w:rFonts w:ascii="Arial" w:cs="Arial" w:eastAsia="Arial" w:hAnsi="Arial"/>
          <w:b/>
          <w:bCs/>
          <w:i w:val="false"/>
          <w:iCs w:val="false"/>
          <w:color w:val="1B2A4A"/>
          <w:sz w:val="26"/>
          <w:szCs w:val="26"/>
        </w:rPr>
        <w:t xml:space="preserve">7.  Recommended Next Steps</w:t>
      </w:r>
    </w:p>
    <w:p>
      <w:pPr>
        <w:spacing w:after="40" w:before="60"/>
        <w:jc w:val="left"/>
      </w:pPr>
      <w:r>
        <w:rPr>
          <w:rFonts w:ascii="Arial" w:cs="Arial" w:eastAsia="Arial" w:hAnsi="Arial"/>
          <w:b w:val="false"/>
          <w:bCs w:val="false"/>
          <w:i w:val="false"/>
          <w:iCs w:val="false"/>
          <w:color w:val="1A1A1A"/>
          <w:sz w:val="20"/>
          <w:szCs w:val="20"/>
        </w:rPr>
        <w:t xml:space="preserve">The following priority sequence is recommended for privacy compliance remediation:</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IMMEDIATE (within 30 days): Appoint a DPO (G-003) and Grievance Officer (D-004) — these are structural appointments that unlock all downstream compliance activities. Initiate DPA negotiations with UK clinic clients (G-001).</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SHORT-TERM (30–60 days): Redesign the patient consent mechanism for DPDP Act compliance (D-001). Commence DPIA for core processing activities (G-002). Assess the legal basis for retained data of terminated clients (G-004).</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MEDIUM-TERM (60–90 days): Develop the breach notification procedure with dual-track (ICO / DPB) design (G-001 / D-002). Implement Data Principal rights request mechanism (D-003). Draft the updated privacy notice (G-005).</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PROGRAMME PHASE (90–180 days): Develop and implement data retention schedule (G-004). Complete DPIA and implement recommended measures. Finalise and publish updated privacy notices in all patient touchpoints. Train relevant staff on GDPR and DPDP obligations.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ONGOING: Monitor DPDP Act implementing rules notification by Central Government — several compliance obligations (breach notification timelines, retention periods, DPB procedural requirements) depend on the final rules. Update procedures upon rules notification.</w:t>
      </w:r>
    </w:p>
    <w:p>
      <w:pPr>
        <w:spacing w:after="80" w:before="80"/>
      </w:pPr>
      <w:r>
        <w:rPr>
          <w:rFonts w:ascii="Arial" w:cs="Arial" w:eastAsia="Arial" w:hAnsi="Arial"/>
          <w:b w:val="false"/>
          <w:bCs w:val="false"/>
          <w:i w:val="false"/>
          <w:iCs w:val="false"/>
          <w:color w:val="1A1A1A"/>
          <w:sz w:val="20"/>
          <w:szCs w:val="20"/>
        </w:rPr>
        <w:t xml:space="preserve"/>
      </w:r>
    </w:p>
    <w:p>
      <w:pPr>
        <w:pBdr>
          <w:bottom w:val="single" w:color="C8A951" w:sz="6" w:space="1"/>
        </w:pBdr>
        <w:spacing w:after="40" w:before="40"/>
      </w:pPr>
      <w:r>
        <w:rPr>
          <w:rFonts w:ascii="Arial" w:cs="Arial" w:eastAsia="Arial" w:hAnsi="Arial"/>
          <w:b w:val="false"/>
          <w:bCs w:val="false"/>
          <w:i w:val="false"/>
          <w:iCs w:val="false"/>
          <w:color w:val="1A1A1A"/>
          <w:sz w:val="20"/>
          <w:szCs w:val="20"/>
        </w:rPr>
        <w:t xml:space="preserve"/>
      </w:r>
    </w:p>
    <w:p>
      <w:pPr>
        <w:spacing w:after="60" w:before="60"/>
      </w:pPr>
      <w:r>
        <w:rPr>
          <w:rFonts w:ascii="Arial" w:cs="Arial" w:eastAsia="Arial" w:hAnsi="Arial"/>
          <w:b w:val="false"/>
          <w:bCs w:val="false"/>
          <w:i w:val="false"/>
          <w:iCs w:val="false"/>
          <w:color w:val="1A1A1A"/>
          <w:sz w:val="20"/>
          <w:szCs w:val="20"/>
        </w:rPr>
        <w:t xml:space="preserve"/>
      </w:r>
    </w:p>
    <w:p>
      <w:pPr>
        <w:spacing w:after="40" w:before="40"/>
        <w:jc w:val="center"/>
      </w:pPr>
      <w:r>
        <w:rPr>
          <w:rFonts w:ascii="Arial" w:cs="Arial" w:eastAsia="Arial" w:hAnsi="Arial"/>
          <w:b w:val="false"/>
          <w:bCs w:val="false"/>
          <w:i/>
          <w:iCs/>
          <w:color w:val="666666"/>
          <w:sz w:val="19"/>
          <w:szCs w:val="19"/>
        </w:rPr>
        <w:t xml:space="preserve">This report was prepared by kay Shahbaaz, GRC Analyst, Resolute Compliance Advisory LLP, and reflects the findings of the privacy compliance assessment conducted between 15 April 2024 and 30 April 2024. This report does not constitute legal advice. The Client is advised to seek qualified legal counsel on the interpretation and implementation of UK GDPR and DPDP Act obligations.</w:t>
      </w:r>
    </w:p>
    <w:p>
      <w:pPr>
        <w:spacing w:after="60" w:before="0"/>
        <w:jc w:val="center"/>
      </w:pPr>
      <w:r>
        <w:rPr>
          <w:rFonts w:ascii="Arial" w:cs="Arial" w:eastAsia="Arial" w:hAnsi="Arial"/>
          <w:b w:val="false"/>
          <w:bCs w:val="false"/>
          <w:i/>
          <w:iCs/>
          <w:color w:val="666666"/>
          <w:sz w:val="19"/>
          <w:szCs w:val="19"/>
        </w:rPr>
        <w:t xml:space="preserve">Document Reference: RCA-P2-003  ·  Version 1.0  ·  15 May 2024  ·  CONFIDENTIAL</w:t>
      </w:r>
    </w:p>
    <w:sectPr>
      <w:headerReference w:type="default" r:id="rId7"/>
      <w:footerReference w:type="default" r:id="rId8"/>
      <w:pgSz w:w="11906" w:h="16838" w:orient="portrait"/>
      <w:pgMar w:top="1280" w:right="1080" w:bottom="12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51" w:sz="6" w:space="1"/>
      </w:pBdr>
      <w:tabs>
        <w:tab w:val="right" w:pos="9026"/>
      </w:tabs>
      <w:spacing w:after="0" w:before="80"/>
    </w:pPr>
    <w:r>
      <w:rPr>
        <w:rFonts w:ascii="Arial" w:cs="Arial" w:eastAsia="Arial" w:hAnsi="Arial"/>
        <w:b w:val="false"/>
        <w:bCs w:val="false"/>
        <w:i w:val="false"/>
        <w:iCs w:val="false"/>
        <w:color w:val="666666"/>
        <w:sz w:val="16"/>
        <w:szCs w:val="16"/>
      </w:rPr>
      <w:t xml:space="preserve">GDPR + DPDP Act 2023 Compliance Assessment  ·  Medlink India Pvt. Ltd.</w:t>
    </w:r>
    <w:r>
      <w:rPr>
        <w:rFonts w:ascii="Arial" w:cs="Arial" w:eastAsia="Arial" w:hAnsi="Arial"/>
        <w:b w:val="false"/>
        <w:bCs w:val="false"/>
        <w:i w:val="false"/>
        <w:iCs w:val="false"/>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tabs>
        <w:tab w:val="right" w:pos="9026"/>
      </w:tabs>
      <w:spacing w:after="80" w:before="0"/>
    </w:pPr>
    <w:r>
      <w:rPr>
        <w:rFonts w:ascii="Arial" w:cs="Arial" w:eastAsia="Arial" w:hAnsi="Arial"/>
        <w:b/>
        <w:bCs/>
        <w:i w:val="false"/>
        <w:iCs w:val="false"/>
        <w:color w:val="1B2A4A"/>
        <w:sz w:val="16"/>
        <w:szCs w:val="16"/>
      </w:rPr>
      <w:t xml:space="preserve">Resolute Compliance Advisory LLP</w:t>
    </w:r>
    <w:r>
      <w:rPr>
        <w:rFonts w:ascii="Arial" w:cs="Arial" w:eastAsia="Arial" w:hAnsi="Arial"/>
        <w:b w:val="false"/>
        <w:bCs w:val="false"/>
        <w:i w:val="false"/>
        <w:iCs w:val="false"/>
        <w:color w:val="1A1A1A"/>
        <w:sz w:val="16"/>
        <w:szCs w:val="16"/>
      </w:rPr>
      <w:t xml:space="preserve">	</w:t>
    </w:r>
    <w:r>
      <w:rPr>
        <w:rFonts w:ascii="Arial" w:cs="Arial" w:eastAsia="Arial" w:hAnsi="Arial"/>
        <w:b w:val="false"/>
        <w:bCs w:val="false"/>
        <w:i w:val="false"/>
        <w:iCs w:val="false"/>
        <w:color w:val="666666"/>
        <w:sz w:val="16"/>
        <w:szCs w:val="16"/>
      </w:rPr>
      <w:t xml:space="preserve">RCA-P2-003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B2A4A"/>
      <w:sz w:val="22"/>
      <w:szCs w:val="22"/>
    </w:rPr>
  </w:style>
  <w:style w:type="paragraph" w:styleId="Heading3">
    <w:name w:val="Heading 3"/>
    <w:basedOn w:val="Normal"/>
    <w:next w:val="Normal"/>
    <w:qFormat/>
    <w:pPr>
      <w:spacing w:after="60" w:before="160"/>
      <w:outlineLvl w:val="2"/>
    </w:pPr>
    <w:rPr>
      <w:rFonts w:ascii="Arial" w:cs="Arial" w:eastAsia="Arial" w:hAnsi="Arial"/>
      <w:b/>
      <w:bCs/>
      <w:color w:val="1B2A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2026-06-22T06:01:47.762Z</dcterms:created>
  <dcterms:modified xsi:type="dcterms:W3CDTF">2026-06-22T06:01:47.777Z</dcterms:modified>
</cp:coreProperties>
</file>

<file path=docProps/custom.xml><?xml version="1.0" encoding="utf-8"?>
<Properties xmlns="http://schemas.openxmlformats.org/officeDocument/2006/custom-properties" xmlns:vt="http://schemas.openxmlformats.org/officeDocument/2006/docPropsVTypes"/>
</file>