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left w:val="none"/>
          <w:bottom w:val="none"/>
          <w:right w:val="none"/>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B2A4A" w:val="clear"/>
            <w:tcMar>
              <w:top w:type="dxa" w:w="280"/>
              <w:left w:type="dxa" w:w="360"/>
              <w:bottom w:type="dxa" w:w="280"/>
              <w:right w:type="dxa" w:w="360"/>
            </w:tcMar>
          </w:tcPr>
          <w:p>
            <w:pPr>
              <w:jc w:val="center"/>
            </w:pPr>
            <w:r>
              <w:rPr>
                <w:rFonts w:ascii="Arial" w:cs="Arial" w:eastAsia="Arial" w:hAnsi="Arial"/>
                <w:b/>
                <w:bCs/>
                <w:color w:val="FFFFFF"/>
                <w:sz w:val="28"/>
                <w:szCs w:val="28"/>
              </w:rPr>
              <w:t xml:space="preserve">RESOLUTE COMPLIANCE ADVISORY LLP</w:t>
            </w:r>
          </w:p>
          <w:p>
            <w:pPr>
              <w:jc w:val="center"/>
            </w:pPr>
            <w:r>
              <w:rPr>
                <w:rFonts w:ascii="Arial" w:cs="Arial" w:eastAsia="Arial" w:hAnsi="Arial"/>
                <w:i/>
                <w:iCs/>
                <w:color w:val="C8A951"/>
                <w:sz w:val="20"/>
                <w:szCs w:val="20"/>
              </w:rPr>
              <w:t xml:space="preserve">Governance · Risk · Compliance</w:t>
            </w:r>
          </w:p>
        </w:tc>
      </w:tr>
    </w:tbl>
    <w:p>
      <w:pPr>
        <w:spacing w:after="0" w:before="600"/>
      </w:pPr>
      <w:r>
        <w:t xml:space="preserve"/>
      </w:r>
    </w:p>
    <w:p>
      <w:pPr>
        <w:jc w:val="center"/>
      </w:pPr>
      <w:r>
        <w:rPr>
          <w:rFonts w:ascii="Arial" w:cs="Arial" w:eastAsia="Arial" w:hAnsi="Arial"/>
          <w:b/>
          <w:bCs/>
          <w:color w:val="C8A951"/>
          <w:sz w:val="24"/>
          <w:szCs w:val="24"/>
        </w:rPr>
        <w:t xml:space="preserve">AUDIT ENGAGEMENT LETTER</w:t>
      </w:r>
    </w:p>
    <w:p>
      <w:pPr>
        <w:spacing w:after="0" w:before="60"/>
      </w:pPr>
      <w:r>
        <w:t xml:space="preserve"/>
      </w:r>
    </w:p>
    <w:p>
      <w:pPr>
        <w:jc w:val="center"/>
      </w:pPr>
      <w:r>
        <w:rPr>
          <w:rFonts w:ascii="Arial" w:cs="Arial" w:eastAsia="Arial" w:hAnsi="Arial"/>
          <w:b/>
          <w:bCs/>
          <w:color w:val="1B2A4A"/>
          <w:sz w:val="36"/>
          <w:szCs w:val="36"/>
        </w:rPr>
        <w:t xml:space="preserve">Engagement Letter &amp; Scope of Work</w:t>
      </w:r>
    </w:p>
    <w:p>
      <w:pPr>
        <w:spacing w:after="0" w:before="480"/>
      </w:pPr>
      <w:r>
        <w:t xml:space="preserve"/>
      </w:r>
    </w:p>
    <w:p>
      <w:pPr>
        <w:pBdr>
          <w:bottom w:val="single" w:color="C8A951" w:sz="8" w:space="1"/>
        </w:pBdr>
        <w:spacing w:after="0" w:before="0"/>
      </w:pPr>
      <w:r>
        <w:t xml:space="preserve"/>
      </w:r>
    </w:p>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1F7" w:val="clear"/>
            <w:tcMar>
              <w:top w:type="dxa" w:w="240"/>
              <w:left w:type="dxa" w:w="360"/>
              <w:bottom w:type="dxa" w:w="240"/>
              <w:right w:type="dxa" w:w="360"/>
            </w:tcMar>
          </w:tcPr>
          <w:p>
            <w:pPr>
              <w:jc w:val="center"/>
            </w:pPr>
            <w:r>
              <w:rPr>
                <w:rFonts w:ascii="Arial" w:cs="Arial" w:eastAsia="Arial" w:hAnsi="Arial"/>
                <w:i/>
                <w:iCs/>
                <w:color w:val="666666"/>
                <w:sz w:val="18"/>
                <w:szCs w:val="18"/>
              </w:rPr>
              <w:t xml:space="preserve">Prepared for</w:t>
            </w:r>
          </w:p>
          <w:p>
            <w:pPr>
              <w:spacing w:after="0" w:before="60"/>
            </w:pPr>
            <w:r>
              <w:t xml:space="preserve"/>
            </w:r>
          </w:p>
          <w:p>
            <w:pPr>
              <w:jc w:val="center"/>
            </w:pPr>
            <w:r>
              <w:rPr>
                <w:rFonts w:ascii="Arial" w:cs="Arial" w:eastAsia="Arial" w:hAnsi="Arial"/>
                <w:b/>
                <w:bCs/>
                <w:color w:val="1B2A4A"/>
                <w:sz w:val="32"/>
                <w:szCs w:val="32"/>
              </w:rPr>
              <w:t xml:space="preserve">Al Ameen Insurance Company</w:t>
            </w:r>
          </w:p>
          <w:p>
            <w:pPr>
              <w:jc w:val="center"/>
            </w:pPr>
            <w:r>
              <w:rPr>
                <w:rFonts w:ascii="Arial" w:cs="Arial" w:eastAsia="Arial" w:hAnsi="Arial"/>
                <w:color w:val="666666"/>
                <w:sz w:val="24"/>
                <w:szCs w:val="24"/>
              </w:rPr>
              <w:t xml:space="preserve">شركة الأمين للتأمين</w:t>
            </w:r>
          </w:p>
          <w:p>
            <w:pPr>
              <w:spacing w:after="0" w:before="60"/>
            </w:pPr>
            <w:r>
              <w:t xml:space="preserve"/>
            </w:r>
          </w:p>
          <w:p>
            <w:pPr>
              <w:jc w:val="center"/>
            </w:pPr>
            <w:r>
              <w:rPr>
                <w:rFonts w:ascii="Arial" w:cs="Arial" w:eastAsia="Arial" w:hAnsi="Arial"/>
                <w:color w:val="666666"/>
                <w:sz w:val="20"/>
                <w:szCs w:val="20"/>
              </w:rPr>
              <w:t xml:space="preserve">Insurance  ·  Riyadh, Saudi Arabia</w:t>
            </w:r>
          </w:p>
          <w:p>
            <w:pPr>
              <w:jc w:val="center"/>
            </w:pPr>
            <w:r>
              <w:rPr>
                <w:rFonts w:ascii="Arial" w:cs="Arial" w:eastAsia="Arial" w:hAnsi="Arial"/>
                <w:color w:val="666666"/>
                <w:sz w:val="20"/>
                <w:szCs w:val="20"/>
              </w:rPr>
              <w:t xml:space="preserve">Engagement Period: 15 July 2024 – 31 October 2024</w:t>
            </w:r>
          </w:p>
        </w:tc>
      </w:tr>
    </w:tbl>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3248"/>
        <w:gridCol w:w="3249"/>
        <w:gridCol w:w="3249"/>
      </w:tblGrid>
      <w:tr>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i/>
                <w:iCs/>
                <w:color w:val="C8A951"/>
                <w:sz w:val="16"/>
                <w:szCs w:val="16"/>
              </w:rPr>
              <w:t xml:space="preserve">Prepared by</w:t>
            </w:r>
          </w:p>
          <w:p>
            <w:pPr>
              <w:jc w:val="center"/>
            </w:pPr>
            <w:r>
              <w:rPr>
                <w:rFonts w:ascii="Arial" w:cs="Arial" w:eastAsia="Arial" w:hAnsi="Arial"/>
                <w:b/>
                <w:bCs/>
                <w:color w:val="FFFFFF"/>
                <w:sz w:val="20"/>
                <w:szCs w:val="20"/>
              </w:rPr>
              <w:t xml:space="preserve">kay Shahbaaz</w:t>
            </w:r>
          </w:p>
          <w:p>
            <w:pPr>
              <w:jc w:val="center"/>
            </w:pPr>
            <w:r>
              <w:rPr>
                <w:rFonts w:ascii="Arial" w:cs="Arial" w:eastAsia="Arial" w:hAnsi="Arial"/>
                <w:color w:val="C8A951"/>
                <w:sz w:val="16"/>
                <w:szCs w:val="16"/>
              </w:rPr>
              <w:t xml:space="preserve">GRC Auditor</w:t>
            </w:r>
          </w:p>
        </w:tc>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i/>
                <w:iCs/>
                <w:color w:val="C8A951"/>
                <w:sz w:val="16"/>
                <w:szCs w:val="16"/>
              </w:rPr>
              <w:t xml:space="preserve">Date</w:t>
            </w:r>
          </w:p>
          <w:p>
            <w:pPr>
              <w:jc w:val="center"/>
            </w:pPr>
            <w:r>
              <w:rPr>
                <w:rFonts w:ascii="Arial" w:cs="Arial" w:eastAsia="Arial" w:hAnsi="Arial"/>
                <w:b/>
                <w:bCs/>
                <w:color w:val="FFFFFF"/>
                <w:sz w:val="20"/>
                <w:szCs w:val="20"/>
              </w:rPr>
              <w:t xml:space="preserve">15 July 2024</w:t>
            </w:r>
          </w:p>
        </w:tc>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i/>
                <w:iCs/>
                <w:color w:val="C8A951"/>
                <w:sz w:val="16"/>
                <w:szCs w:val="16"/>
              </w:rPr>
              <w:t xml:space="preserve">Document Ref</w:t>
            </w:r>
          </w:p>
          <w:p>
            <w:pPr>
              <w:jc w:val="center"/>
            </w:pPr>
            <w:r>
              <w:rPr>
                <w:rFonts w:ascii="Arial" w:cs="Arial" w:eastAsia="Arial" w:hAnsi="Arial"/>
                <w:b/>
                <w:bCs/>
                <w:color w:val="FFFFFF"/>
                <w:sz w:val="20"/>
                <w:szCs w:val="20"/>
              </w:rPr>
              <w:t xml:space="preserve">RCA-P3-001</w:t>
            </w:r>
          </w:p>
        </w:tc>
      </w:tr>
    </w:tbl>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single" w:color="C8A951" w:sz="4"/>
              <w:left w:val="single" w:color="C8A951" w:sz="4"/>
              <w:bottom w:val="single" w:color="C8A951" w:sz="4"/>
              <w:right w:val="single" w:color="C8A951" w:sz="4"/>
            </w:tcBorders>
            <w:shd w:fill="EEF1F7" w:val="clear"/>
            <w:tcMar>
              <w:top w:type="dxa" w:w="160"/>
              <w:left w:type="dxa" w:w="240"/>
              <w:bottom w:type="dxa" w:w="160"/>
              <w:right w:type="dxa" w:w="240"/>
            </w:tcMar>
          </w:tcPr>
          <w:p>
            <w:pPr>
              <w:jc w:val="center"/>
            </w:pPr>
            <w:r>
              <w:rPr>
                <w:rFonts w:ascii="Arial" w:cs="Arial" w:eastAsia="Arial" w:hAnsi="Arial"/>
                <w:b/>
                <w:bCs/>
                <w:color w:val="1B2A4A"/>
                <w:sz w:val="18"/>
                <w:szCs w:val="18"/>
              </w:rPr>
              <w:t xml:space="preserve">CONFIDENTIALITY NOTICE</w:t>
            </w:r>
          </w:p>
          <w:p>
            <w:pPr>
              <w:spacing w:after="0" w:before="60"/>
            </w:pPr>
            <w:r>
              <w:t xml:space="preserve"/>
            </w:r>
          </w:p>
          <w:p>
            <w:pPr>
              <w:jc w:val="both"/>
            </w:pPr>
            <w:r>
              <w:rPr>
                <w:rFonts w:ascii="Arial" w:cs="Arial" w:eastAsia="Arial" w:hAnsi="Arial"/>
                <w:i/>
                <w:iCs/>
                <w:color w:val="666666"/>
                <w:sz w:val="18"/>
                <w:szCs w:val="18"/>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r>
        <w:br w:type="page"/>
      </w:r>
    </w:p>
    <w:p>
      <w:pPr>
        <w:pStyle w:val="Heading1"/>
        <w:spacing w:after="160" w:before="320"/>
      </w:pPr>
      <w:r>
        <w:rPr>
          <w:rFonts w:ascii="Arial" w:cs="Arial" w:eastAsia="Arial" w:hAnsi="Arial"/>
          <w:b/>
          <w:bCs/>
          <w:color w:val="1B2A4A"/>
          <w:sz w:val="28"/>
          <w:szCs w:val="28"/>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Document Title</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Audit Engagement Letter &amp; Scope of Work</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Document Ref</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RCA-P3-001</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Client</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Al Ameen Insurance Company</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Project</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NCA ECC-1:2018 + SAMA CSF Compliance Audit</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Prepared by</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kay Shahbaaz</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Reviewed by</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Resolute Compliance Advisory LLP</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15 July 2024</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v1.0</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Classification</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CONFIDENTIAL</w:t>
            </w:r>
          </w:p>
        </w:tc>
      </w:tr>
      <w:tr>
        <w:tc>
          <w:tcPr>
            <w:tcW w:type="dxa" w:w="30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746"/>
            <w:tcBorders>
              <w:top w:val="single" w:color="D0D7E3" w:sz="1"/>
              <w:left w:val="single" w:color="D0D7E3" w:sz="1"/>
              <w:bottom w:val="single" w:color="D0D7E3" w:sz="1"/>
              <w:right w:val="single" w:color="D0D7E3" w:sz="1"/>
            </w:tcBorders>
            <w:tcMar>
              <w:top w:type="dxa" w:w="80"/>
              <w:left w:type="dxa" w:w="120"/>
              <w:bottom w:type="dxa" w:w="80"/>
              <w:right w:type="dxa" w:w="120"/>
            </w:tcMar>
          </w:tcPr>
          <w:p>
            <w:r>
              <w:rPr>
                <w:rFonts w:ascii="Arial" w:cs="Arial" w:eastAsia="Arial" w:hAnsi="Arial"/>
                <w:color w:val="1A1A1A"/>
                <w:sz w:val="20"/>
                <w:szCs w:val="20"/>
              </w:rPr>
              <w:t xml:space="preserve">Final</w:t>
            </w:r>
          </w:p>
        </w:tc>
      </w:tr>
    </w:tbl>
    <w:p>
      <w:pPr>
        <w:spacing w:after="0" w:before="200"/>
      </w:pPr>
      <w:r>
        <w:t xml:space="preserve"/>
      </w:r>
    </w:p>
    <w:p>
      <w:pPr>
        <w:pStyle w:val="Heading1"/>
        <w:spacing w:after="160" w:before="320"/>
      </w:pPr>
      <w:r>
        <w:rPr>
          <w:rFonts w:ascii="Arial" w:cs="Arial" w:eastAsia="Arial" w:hAnsi="Arial"/>
          <w:b/>
          <w:bCs/>
          <w:color w:val="1B2A4A"/>
          <w:sz w:val="28"/>
          <w:szCs w:val="28"/>
        </w:rPr>
        <w:t xml:space="preserve">1.  Introduction</w:t>
      </w:r>
    </w:p>
    <w:p>
      <w:pPr>
        <w:spacing w:after="120" w:before="80"/>
        <w:jc w:val="both"/>
      </w:pPr>
      <w:r>
        <w:rPr>
          <w:rFonts w:ascii="Arial" w:cs="Arial" w:eastAsia="Arial" w:hAnsi="Arial"/>
          <w:color w:val="1A1A1A"/>
          <w:sz w:val="20"/>
          <w:szCs w:val="20"/>
        </w:rPr>
        <w:t xml:space="preserve">This document constitutes the formal Audit Engagement Letter and Scope of Work between Resolute Compliance Advisory LLP (hereinafter referred to as "the Firm") and Al Ameen Insurance Company (hereinafter referred to as "the Client"). It defines the objectives, scope, audit methodology, deliverables, roles and responsibilities, and engagement timeline for the NCA ECC-1:2018 Compliance Audit and SAMA Cybersecurity Framework (CSF) Maturity Assessment.</w:t>
      </w:r>
    </w:p>
    <w:p>
      <w:pPr>
        <w:spacing w:after="120" w:before="80"/>
        <w:jc w:val="both"/>
      </w:pPr>
      <w:r>
        <w:rPr>
          <w:rFonts w:ascii="Arial" w:cs="Arial" w:eastAsia="Arial" w:hAnsi="Arial"/>
          <w:color w:val="1A1A1A"/>
          <w:sz w:val="20"/>
          <w:szCs w:val="20"/>
        </w:rPr>
        <w:t xml:space="preserve">This engagement has been initiated in response to Al Ameen Insurance Company's obligation to demonstrate compliance with the National Cybersecurity Authority Essential Cybersecurity Controls (ECC-1:2018), as mandated for all organisations operating within the Kingdom of Saudi Arabia's financial and insurance sector. The SAMA CSF maturity assessment is conducted in alignment with SAMA's expectations for regulated financial institutions to maintain and continually improve their cybersecurity posture.</w:t>
      </w:r>
    </w:p>
    <w:p>
      <w:pPr>
        <w:pStyle w:val="Heading2"/>
        <w:spacing w:after="120" w:before="240"/>
      </w:pPr>
      <w:r>
        <w:rPr>
          <w:rFonts w:ascii="Arial" w:cs="Arial" w:eastAsia="Arial" w:hAnsi="Arial"/>
          <w:b/>
          <w:bCs/>
          <w:color w:val="1B2A4A"/>
          <w:sz w:val="24"/>
          <w:szCs w:val="24"/>
        </w:rPr>
        <w:t xml:space="preserve">1.1  Engagement Overview</w:t>
      </w:r>
    </w:p>
    <w:p>
      <w:pPr>
        <w:spacing w:after="120" w:before="80"/>
        <w:jc w:val="both"/>
      </w:pPr>
      <w:r>
        <w:rPr>
          <w:rFonts w:ascii="Arial" w:cs="Arial" w:eastAsia="Arial" w:hAnsi="Arial"/>
          <w:color w:val="1A1A1A"/>
          <w:sz w:val="20"/>
          <w:szCs w:val="20"/>
        </w:rPr>
        <w:t xml:space="preserve">Al Ameen Insurance Company is a SAMA-regulated insurance provider headquartered in Riyadh, Saudi Arabia, with branch offices in Jeddah and Dammam. The organisation operates across motor, medical, and property insurance lines, serving approximately 290 employees. Core operations are supported by Oracle Insurance Policy Administration and Guidewire ClaimCenter, running within an on-premise data centre in Riyadh, supplemented by Microsoft Azure KSA region workloads and Microsoft 365.</w:t>
      </w:r>
    </w:p>
    <w:p>
      <w:pPr>
        <w:spacing w:after="120" w:before="80"/>
        <w:jc w:val="both"/>
      </w:pPr>
      <w:r>
        <w:rPr>
          <w:rFonts w:ascii="Arial" w:cs="Arial" w:eastAsia="Arial" w:hAnsi="Arial"/>
          <w:color w:val="1A1A1A"/>
          <w:sz w:val="20"/>
          <w:szCs w:val="20"/>
        </w:rPr>
        <w:t xml:space="preserve">The Client has engaged Resolute Compliance Advisory LLP to conduct an independent compliance audit against the NCA ECC-1:2018 framework and a maturity assessment against the SAMA Cybersecurity Framework. The engagement will assess the current state of cybersecurity controls across all five ECC-1:2018 domains, identify non-conformities and control gaps, and provide a prioritised corrective action roadmap to support the Client's path to regulatory compliance.</w:t>
      </w:r>
    </w:p>
    <w:p>
      <w:pPr>
        <w:pStyle w:val="Heading2"/>
        <w:spacing w:after="120" w:before="240"/>
      </w:pPr>
      <w:r>
        <w:rPr>
          <w:rFonts w:ascii="Arial" w:cs="Arial" w:eastAsia="Arial" w:hAnsi="Arial"/>
          <w:b/>
          <w:bCs/>
          <w:color w:val="1B2A4A"/>
          <w:sz w:val="24"/>
          <w:szCs w:val="24"/>
        </w:rPr>
        <w:t xml:space="preserve">1.2  Parties to this Engagement</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D0D7E3" w:sz="1"/>
              <w:left w:val="single" w:color="D0D7E3" w:sz="1"/>
              <w:bottom w:val="single" w:color="D0D7E3" w:sz="1"/>
              <w:right w:val="single" w:color="D0D7E3" w:sz="1"/>
            </w:tcBorders>
            <w:shd w:fill="1B2A4A" w:val="clear"/>
            <w:tcMar>
              <w:top w:type="dxa" w:w="120"/>
              <w:left w:type="dxa" w:w="160"/>
              <w:bottom w:type="dxa" w:w="120"/>
              <w:right w:type="dxa" w:w="160"/>
            </w:tcMar>
          </w:tcPr>
          <w:p>
            <w:pPr>
              <w:jc w:val="center"/>
            </w:pPr>
            <w:r>
              <w:rPr>
                <w:rFonts w:ascii="Arial" w:cs="Arial" w:eastAsia="Arial" w:hAnsi="Arial"/>
                <w:b/>
                <w:bCs/>
                <w:color w:val="C8A951"/>
                <w:sz w:val="18"/>
                <w:szCs w:val="18"/>
              </w:rPr>
              <w:t xml:space="preserve">THE FIRM</w:t>
            </w:r>
          </w:p>
        </w:tc>
        <w:tc>
          <w:tcPr>
            <w:tcW w:type="dxa" w:w="4873"/>
            <w:tcBorders>
              <w:top w:val="single" w:color="D0D7E3" w:sz="1"/>
              <w:left w:val="single" w:color="D0D7E3" w:sz="1"/>
              <w:bottom w:val="single" w:color="D0D7E3" w:sz="1"/>
              <w:right w:val="single" w:color="D0D7E3" w:sz="1"/>
            </w:tcBorders>
            <w:shd w:fill="1B2A4A" w:val="clear"/>
            <w:tcMar>
              <w:top w:type="dxa" w:w="120"/>
              <w:left w:type="dxa" w:w="160"/>
              <w:bottom w:type="dxa" w:w="120"/>
              <w:right w:type="dxa" w:w="160"/>
            </w:tcMar>
          </w:tcPr>
          <w:p>
            <w:pPr>
              <w:jc w:val="center"/>
            </w:pPr>
            <w:r>
              <w:rPr>
                <w:rFonts w:ascii="Arial" w:cs="Arial" w:eastAsia="Arial" w:hAnsi="Arial"/>
                <w:b/>
                <w:bCs/>
                <w:color w:val="C8A951"/>
                <w:sz w:val="18"/>
                <w:szCs w:val="18"/>
              </w:rPr>
              <w:t xml:space="preserve">THE CLIENT</w:t>
            </w:r>
          </w:p>
        </w:tc>
      </w:tr>
      <w:tr>
        <w:tc>
          <w:tcPr>
            <w:tcW w:type="dxa" w:w="4873"/>
            <w:tcBorders>
              <w:top w:val="single" w:color="D0D7E3" w:sz="1"/>
              <w:left w:val="single" w:color="D0D7E3" w:sz="1"/>
              <w:bottom w:val="single" w:color="D0D7E3" w:sz="1"/>
              <w:right w:val="single" w:color="D0D7E3" w:sz="1"/>
            </w:tcBorders>
            <w:tcMar>
              <w:top w:type="dxa" w:w="100"/>
              <w:left w:type="dxa" w:w="160"/>
              <w:bottom w:type="dxa" w:w="100"/>
              <w:right w:type="dxa" w:w="160"/>
            </w:tcMar>
          </w:tcPr>
          <w:p>
            <w:r>
              <w:rPr>
                <w:rFonts w:ascii="Arial" w:cs="Arial" w:eastAsia="Arial" w:hAnsi="Arial"/>
                <w:b/>
                <w:bCs/>
                <w:color w:val="1A1A1A"/>
                <w:sz w:val="20"/>
                <w:szCs w:val="20"/>
              </w:rPr>
              <w:t xml:space="preserve">Resolute Compliance Advisory LLP</w:t>
            </w:r>
          </w:p>
          <w:p>
            <w:r>
              <w:rPr>
                <w:rFonts w:ascii="Arial" w:cs="Arial" w:eastAsia="Arial" w:hAnsi="Arial"/>
                <w:color w:val="666666"/>
                <w:sz w:val="18"/>
                <w:szCs w:val="18"/>
              </w:rPr>
              <w:t xml:space="preserve">Boutique GRC Advisory — South Asia &amp; GCC</w:t>
            </w:r>
          </w:p>
        </w:tc>
        <w:tc>
          <w:tcPr>
            <w:tcW w:type="dxa" w:w="4873"/>
            <w:tcBorders>
              <w:top w:val="single" w:color="D0D7E3" w:sz="1"/>
              <w:left w:val="single" w:color="D0D7E3" w:sz="1"/>
              <w:bottom w:val="single" w:color="D0D7E3" w:sz="1"/>
              <w:right w:val="single" w:color="D0D7E3" w:sz="1"/>
            </w:tcBorders>
            <w:tcMar>
              <w:top w:type="dxa" w:w="100"/>
              <w:left w:type="dxa" w:w="160"/>
              <w:bottom w:type="dxa" w:w="100"/>
              <w:right w:type="dxa" w:w="160"/>
            </w:tcMar>
          </w:tcPr>
          <w:p>
            <w:r>
              <w:rPr>
                <w:rFonts w:ascii="Arial" w:cs="Arial" w:eastAsia="Arial" w:hAnsi="Arial"/>
                <w:b/>
                <w:bCs/>
                <w:color w:val="1A1A1A"/>
                <w:sz w:val="20"/>
                <w:szCs w:val="20"/>
              </w:rPr>
              <w:t xml:space="preserve">Al Ameen Insurance Company</w:t>
            </w:r>
          </w:p>
          <w:p>
            <w:r>
              <w:rPr>
                <w:rFonts w:ascii="Arial" w:cs="Arial" w:eastAsia="Arial" w:hAnsi="Arial"/>
                <w:color w:val="666666"/>
                <w:sz w:val="18"/>
                <w:szCs w:val="18"/>
              </w:rPr>
              <w:t xml:space="preserve">Insurance  ·  Riyadh, Saudi Arabia</w:t>
            </w:r>
          </w:p>
        </w:tc>
      </w:tr>
    </w:tbl>
    <w:p>
      <w:pPr>
        <w:spacing w:after="0" w:before="200"/>
      </w:pPr>
      <w:r>
        <w:t xml:space="preserve"/>
      </w:r>
    </w:p>
    <w:p>
      <w:pPr>
        <w:pStyle w:val="Heading1"/>
        <w:spacing w:after="160" w:before="320"/>
      </w:pPr>
      <w:r>
        <w:rPr>
          <w:rFonts w:ascii="Arial" w:cs="Arial" w:eastAsia="Arial" w:hAnsi="Arial"/>
          <w:b/>
          <w:bCs/>
          <w:color w:val="1B2A4A"/>
          <w:sz w:val="28"/>
          <w:szCs w:val="28"/>
        </w:rPr>
        <w:t xml:space="preserve">2.  Audit Objectives</w:t>
      </w:r>
    </w:p>
    <w:p>
      <w:pPr>
        <w:spacing w:after="120" w:before="80"/>
        <w:jc w:val="both"/>
      </w:pPr>
      <w:r>
        <w:rPr>
          <w:rFonts w:ascii="Arial" w:cs="Arial" w:eastAsia="Arial" w:hAnsi="Arial"/>
          <w:color w:val="1A1A1A"/>
          <w:sz w:val="20"/>
          <w:szCs w:val="20"/>
        </w:rPr>
        <w:t xml:space="preserve">The primary objectives of this engagement are as follows:</w:t>
      </w:r>
    </w:p>
    <w:p>
      <w:pPr>
        <w:pStyle w:val="ListParagraph"/>
        <w:numPr>
          <w:ilvl w:val="0"/>
          <w:numId w:val="2"/>
        </w:numPr>
        <w:spacing w:after="60" w:before="60"/>
      </w:pPr>
      <w:r>
        <w:rPr>
          <w:rFonts w:ascii="Arial" w:cs="Arial" w:eastAsia="Arial" w:hAnsi="Arial"/>
          <w:color w:val="1A1A1A"/>
          <w:sz w:val="20"/>
          <w:szCs w:val="20"/>
        </w:rPr>
        <w:t xml:space="preserve">Conduct an independent audit of Al Ameen Insurance Company's cybersecurity controls against all 114 controls within the five domains of NCA ECC-1:2018</w:t>
      </w:r>
    </w:p>
    <w:p>
      <w:pPr>
        <w:pStyle w:val="ListParagraph"/>
        <w:numPr>
          <w:ilvl w:val="0"/>
          <w:numId w:val="2"/>
        </w:numPr>
        <w:spacing w:after="60" w:before="60"/>
      </w:pPr>
      <w:r>
        <w:rPr>
          <w:rFonts w:ascii="Arial" w:cs="Arial" w:eastAsia="Arial" w:hAnsi="Arial"/>
          <w:color w:val="1A1A1A"/>
          <w:sz w:val="20"/>
          <w:szCs w:val="20"/>
        </w:rPr>
        <w:t xml:space="preserve">Assess the current cybersecurity maturity of the organisation against the four pillars of the SAMA Cybersecurity Framework, rated on a 1–4 maturity scale</w:t>
      </w:r>
    </w:p>
    <w:p>
      <w:pPr>
        <w:pStyle w:val="ListParagraph"/>
        <w:numPr>
          <w:ilvl w:val="0"/>
          <w:numId w:val="2"/>
        </w:numPr>
        <w:spacing w:after="60" w:before="60"/>
      </w:pPr>
      <w:r>
        <w:rPr>
          <w:rFonts w:ascii="Arial" w:cs="Arial" w:eastAsia="Arial" w:hAnsi="Arial"/>
          <w:color w:val="1A1A1A"/>
          <w:sz w:val="20"/>
          <w:szCs w:val="20"/>
        </w:rPr>
        <w:t xml:space="preserve">Identify non-conformities, partial conformities, and control gaps across both frameworks, with root cause analysis and severity classification</w:t>
      </w:r>
    </w:p>
    <w:p>
      <w:pPr>
        <w:pStyle w:val="ListParagraph"/>
        <w:numPr>
          <w:ilvl w:val="0"/>
          <w:numId w:val="2"/>
        </w:numPr>
        <w:spacing w:after="60" w:before="60"/>
      </w:pPr>
      <w:r>
        <w:rPr>
          <w:rFonts w:ascii="Arial" w:cs="Arial" w:eastAsia="Arial" w:hAnsi="Arial"/>
          <w:color w:val="1A1A1A"/>
          <w:sz w:val="20"/>
          <w:szCs w:val="20"/>
        </w:rPr>
        <w:t xml:space="preserve">Develop a consolidated risk register reflecting the cybersecurity risk exposure arising from identified control deficiencies</w:t>
      </w:r>
    </w:p>
    <w:p>
      <w:pPr>
        <w:pStyle w:val="ListParagraph"/>
        <w:numPr>
          <w:ilvl w:val="0"/>
          <w:numId w:val="2"/>
        </w:numPr>
        <w:spacing w:after="60" w:before="60"/>
      </w:pPr>
      <w:r>
        <w:rPr>
          <w:rFonts w:ascii="Arial" w:cs="Arial" w:eastAsia="Arial" w:hAnsi="Arial"/>
          <w:color w:val="1A1A1A"/>
          <w:sz w:val="20"/>
          <w:szCs w:val="20"/>
        </w:rPr>
        <w:t xml:space="preserve">Deliver a prioritised corrective action plan with defined timelines, responsible owners, and remediation guidance</w:t>
      </w:r>
    </w:p>
    <w:p>
      <w:pPr>
        <w:pStyle w:val="ListParagraph"/>
        <w:numPr>
          <w:ilvl w:val="0"/>
          <w:numId w:val="2"/>
        </w:numPr>
        <w:spacing w:after="60" w:before="60"/>
      </w:pPr>
      <w:r>
        <w:rPr>
          <w:rFonts w:ascii="Arial" w:cs="Arial" w:eastAsia="Arial" w:hAnsi="Arial"/>
          <w:color w:val="1A1A1A"/>
          <w:sz w:val="20"/>
          <w:szCs w:val="20"/>
        </w:rPr>
        <w:t xml:space="preserve">Provide executive-level reporting suitable for Board and Senior Management review and regulatory purposes</w:t>
      </w:r>
    </w:p>
    <w:p>
      <w:pPr>
        <w:spacing w:after="0" w:before="120"/>
      </w:pPr>
      <w:r>
        <w:t xml:space="preserve"/>
      </w:r>
    </w:p>
    <w:p>
      <w:pPr>
        <w:pStyle w:val="Heading1"/>
        <w:spacing w:after="160" w:before="320"/>
      </w:pPr>
      <w:r>
        <w:rPr>
          <w:rFonts w:ascii="Arial" w:cs="Arial" w:eastAsia="Arial" w:hAnsi="Arial"/>
          <w:b/>
          <w:bCs/>
          <w:color w:val="1B2A4A"/>
          <w:sz w:val="28"/>
          <w:szCs w:val="28"/>
        </w:rPr>
        <w:t xml:space="preserve">3.  Scope of Work</w:t>
      </w:r>
    </w:p>
    <w:p>
      <w:pPr>
        <w:spacing w:after="120" w:before="80"/>
        <w:jc w:val="both"/>
      </w:pPr>
      <w:r>
        <w:rPr>
          <w:rFonts w:ascii="Arial" w:cs="Arial" w:eastAsia="Arial" w:hAnsi="Arial"/>
          <w:color w:val="1A1A1A"/>
          <w:sz w:val="20"/>
          <w:szCs w:val="20"/>
        </w:rPr>
        <w:t xml:space="preserve">The scope of this engagement encompasses the following areas: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946"/>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19"/>
                <w:szCs w:val="19"/>
              </w:rPr>
              <w:t xml:space="preserve">NCA ECC-1:2018</w:t>
            </w:r>
          </w:p>
        </w:tc>
        <w:tc>
          <w:tcPr>
            <w:tcW w:type="dxa" w:w="69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Full audit against all 114 controls across 5 domains: Cybersecurity Governance, Cybersecurity Risk Management, Cybersecurity Operations, Third-Party Cybersecurity, and Cybersecurity Resilience</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SAMA CSF</w:t>
            </w:r>
          </w:p>
        </w:tc>
        <w:tc>
          <w:tcPr>
            <w:tcW w:type="dxa" w:w="6946"/>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Maturity assessment across all 4 pillars: Leadership &amp; Governance, Risk &amp; Compliance, Operations &amp; Technology, and Third-Party Management — current maturity rated on 1–4 scale with target state defined</w:t>
            </w:r>
          </w:p>
        </w:tc>
      </w:tr>
      <w:tr>
        <w:tc>
          <w:tcPr>
            <w:tcW w:type="dxa" w:w="28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19"/>
                <w:szCs w:val="19"/>
              </w:rPr>
              <w:t xml:space="preserve">Systems &amp; Infrastructure</w:t>
            </w:r>
          </w:p>
        </w:tc>
        <w:tc>
          <w:tcPr>
            <w:tcW w:type="dxa" w:w="69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Oracle Insurance Policy Administration, Guidewire ClaimCenter, Microsoft 365, Azure AD, Azure KSA workloads, Riyadh on-premise data centre</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Third-Party Integrations</w:t>
            </w:r>
          </w:p>
        </w:tc>
        <w:tc>
          <w:tcPr>
            <w:tcW w:type="dxa" w:w="6946"/>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Review of security arrangements with Najm (motor claims), Shafafiyah (SAMA reporting), Munich Re and Swiss Re (reinsurance) — limited to review of contractual obligations and access controls</w:t>
            </w:r>
          </w:p>
        </w:tc>
      </w:tr>
      <w:tr>
        <w:tc>
          <w:tcPr>
            <w:tcW w:type="dxa" w:w="28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19"/>
                <w:szCs w:val="19"/>
              </w:rPr>
              <w:t xml:space="preserve">Documentation Review</w:t>
            </w:r>
          </w:p>
        </w:tc>
        <w:tc>
          <w:tcPr>
            <w:tcW w:type="dxa" w:w="69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Assessment of existing policies, procedures, standards, and security documentation against framework requirements</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Evidence Collection</w:t>
            </w:r>
          </w:p>
        </w:tc>
        <w:tc>
          <w:tcPr>
            <w:tcW w:type="dxa" w:w="6946"/>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Review of system configurations, access logs, patch records, and operational evidence through fieldwork interviews and document requests</w:t>
            </w:r>
          </w:p>
        </w:tc>
      </w:tr>
      <w:tr>
        <w:tc>
          <w:tcPr>
            <w:tcW w:type="dxa" w:w="2800"/>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b/>
                <w:bCs/>
                <w:color w:val="1B2A4A"/>
                <w:sz w:val="19"/>
                <w:szCs w:val="19"/>
              </w:rPr>
              <w:t xml:space="preserve">Findings &amp; Reporting</w:t>
            </w:r>
          </w:p>
        </w:tc>
        <w:tc>
          <w:tcPr>
            <w:tcW w:type="dxa" w:w="69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Identification of non-conformities and gaps with severity ratings, root cause analysis, and prioritised corrective action recommendations</w:t>
            </w:r>
          </w:p>
        </w:tc>
      </w:tr>
    </w:tbl>
    <w:p>
      <w:pPr>
        <w:spacing w:after="0" w:before="200"/>
      </w:pPr>
      <w:r>
        <w:t xml:space="preserve"/>
      </w:r>
    </w:p>
    <w:p>
      <w:pPr>
        <w:pStyle w:val="Heading1"/>
        <w:spacing w:after="160" w:before="320"/>
      </w:pPr>
      <w:r>
        <w:rPr>
          <w:rFonts w:ascii="Arial" w:cs="Arial" w:eastAsia="Arial" w:hAnsi="Arial"/>
          <w:b/>
          <w:bCs/>
          <w:color w:val="1B2A4A"/>
          <w:sz w:val="28"/>
          <w:szCs w:val="28"/>
        </w:rPr>
        <w:t xml:space="preserve">4.  Out of Scope</w:t>
      </w:r>
    </w:p>
    <w:p>
      <w:pPr>
        <w:spacing w:after="120" w:before="80"/>
        <w:jc w:val="both"/>
      </w:pPr>
      <w:r>
        <w:rPr>
          <w:rFonts w:ascii="Arial" w:cs="Arial" w:eastAsia="Arial" w:hAnsi="Arial"/>
          <w:color w:val="1A1A1A"/>
          <w:sz w:val="20"/>
          <w:szCs w:val="20"/>
        </w:rPr>
        <w:t xml:space="preserve">The following activities are explicitly excluded from this engagement and remain outside the remit of the Firm:</w:t>
      </w:r>
    </w:p>
    <w:p>
      <w:pPr>
        <w:pStyle w:val="ListParagraph"/>
        <w:numPr>
          <w:ilvl w:val="0"/>
          <w:numId w:val="2"/>
        </w:numPr>
        <w:spacing w:after="60" w:before="60"/>
      </w:pPr>
      <w:r>
        <w:rPr>
          <w:rFonts w:ascii="Arial" w:cs="Arial" w:eastAsia="Arial" w:hAnsi="Arial"/>
          <w:color w:val="1A1A1A"/>
          <w:sz w:val="20"/>
          <w:szCs w:val="20"/>
        </w:rPr>
        <w:t xml:space="preserve">Implementation of controls or remediation activities — responsibility for all corrective actions rests solely with the Client</w:t>
      </w:r>
    </w:p>
    <w:p>
      <w:pPr>
        <w:pStyle w:val="ListParagraph"/>
        <w:numPr>
          <w:ilvl w:val="0"/>
          <w:numId w:val="2"/>
        </w:numPr>
        <w:spacing w:after="60" w:before="60"/>
      </w:pPr>
      <w:r>
        <w:rPr>
          <w:rFonts w:ascii="Arial" w:cs="Arial" w:eastAsia="Arial" w:hAnsi="Arial"/>
          <w:color w:val="1A1A1A"/>
          <w:sz w:val="20"/>
          <w:szCs w:val="20"/>
        </w:rPr>
        <w:t xml:space="preserve">Technical penetration testing, vulnerability scanning, or ethical hacking exercises</w:t>
      </w:r>
    </w:p>
    <w:p>
      <w:pPr>
        <w:pStyle w:val="ListParagraph"/>
        <w:numPr>
          <w:ilvl w:val="0"/>
          <w:numId w:val="2"/>
        </w:numPr>
        <w:spacing w:after="60" w:before="60"/>
      </w:pPr>
      <w:r>
        <w:rPr>
          <w:rFonts w:ascii="Arial" w:cs="Arial" w:eastAsia="Arial" w:hAnsi="Arial"/>
          <w:color w:val="1A1A1A"/>
          <w:sz w:val="20"/>
          <w:szCs w:val="20"/>
        </w:rPr>
        <w:t xml:space="preserve">Detailed security assessment of reinsurance partners (Munich Re, Swiss Re) beyond review of contractual security obligations and data access arrangements</w:t>
      </w:r>
    </w:p>
    <w:p>
      <w:pPr>
        <w:pStyle w:val="ListParagraph"/>
        <w:numPr>
          <w:ilvl w:val="0"/>
          <w:numId w:val="2"/>
        </w:numPr>
        <w:spacing w:after="60" w:before="60"/>
      </w:pPr>
      <w:r>
        <w:rPr>
          <w:rFonts w:ascii="Arial" w:cs="Arial" w:eastAsia="Arial" w:hAnsi="Arial"/>
          <w:color w:val="1A1A1A"/>
          <w:sz w:val="20"/>
          <w:szCs w:val="20"/>
        </w:rPr>
        <w:t xml:space="preserve">Assessment of SAMA Insurance Supervisory Framework compliance beyond cybersecurity-related requirements</w:t>
      </w:r>
    </w:p>
    <w:p>
      <w:pPr>
        <w:pStyle w:val="ListParagraph"/>
        <w:numPr>
          <w:ilvl w:val="0"/>
          <w:numId w:val="2"/>
        </w:numPr>
        <w:spacing w:after="60" w:before="60"/>
      </w:pPr>
      <w:r>
        <w:rPr>
          <w:rFonts w:ascii="Arial" w:cs="Arial" w:eastAsia="Arial" w:hAnsi="Arial"/>
          <w:color w:val="1A1A1A"/>
          <w:sz w:val="20"/>
          <w:szCs w:val="20"/>
        </w:rPr>
        <w:t xml:space="preserve">NCA ECC-2:2024 assessment — this engagement is scoped exclusively to ECC-1:2018, which constitutes the applicable regulatory baseline at the time of engagement</w:t>
      </w:r>
    </w:p>
    <w:p>
      <w:pPr>
        <w:pStyle w:val="ListParagraph"/>
        <w:numPr>
          <w:ilvl w:val="0"/>
          <w:numId w:val="2"/>
        </w:numPr>
        <w:spacing w:after="60" w:before="60"/>
      </w:pPr>
      <w:r>
        <w:rPr>
          <w:rFonts w:ascii="Arial" w:cs="Arial" w:eastAsia="Arial" w:hAnsi="Arial"/>
          <w:color w:val="1A1A1A"/>
          <w:sz w:val="20"/>
          <w:szCs w:val="20"/>
        </w:rPr>
        <w:t xml:space="preserve">Certification audit — this engagement is a compliance audit and maturity assessment; it does not constitute or substitute for any formal certification process</w:t>
      </w:r>
    </w:p>
    <w:p>
      <w:pPr>
        <w:spacing w:after="0" w:before="120"/>
      </w:pPr>
      <w:r>
        <w:t xml:space="preserve"/>
      </w:r>
    </w:p>
    <w:p>
      <w:pPr>
        <w:pStyle w:val="Heading1"/>
        <w:spacing w:after="160" w:before="320"/>
      </w:pPr>
      <w:r>
        <w:rPr>
          <w:rFonts w:ascii="Arial" w:cs="Arial" w:eastAsia="Arial" w:hAnsi="Arial"/>
          <w:b/>
          <w:bCs/>
          <w:color w:val="1B2A4A"/>
          <w:sz w:val="28"/>
          <w:szCs w:val="28"/>
        </w:rPr>
        <w:t xml:space="preserve">5.  Audit Methodology</w:t>
      </w:r>
    </w:p>
    <w:p>
      <w:pPr>
        <w:spacing w:after="120" w:before="80"/>
        <w:jc w:val="both"/>
      </w:pPr>
      <w:r>
        <w:rPr>
          <w:rFonts w:ascii="Arial" w:cs="Arial" w:eastAsia="Arial" w:hAnsi="Arial"/>
          <w:color w:val="1A1A1A"/>
          <w:sz w:val="20"/>
          <w:szCs w:val="20"/>
        </w:rPr>
        <w:t xml:space="preserve">The audit will be conducted using a structured evidence-based methodology aligned with internationally recognised audit practices. The following techniques will be employed:</w:t>
      </w:r>
    </w:p>
    <w:p>
      <w:pPr>
        <w:pStyle w:val="Heading2"/>
        <w:spacing w:after="120" w:before="240"/>
      </w:pPr>
      <w:r>
        <w:rPr>
          <w:rFonts w:ascii="Arial" w:cs="Arial" w:eastAsia="Arial" w:hAnsi="Arial"/>
          <w:b/>
          <w:bCs/>
          <w:color w:val="1B2A4A"/>
          <w:sz w:val="24"/>
          <w:szCs w:val="24"/>
        </w:rPr>
        <w:t xml:space="preserve">5.1  Document and Policy Review</w:t>
      </w:r>
    </w:p>
    <w:p>
      <w:pPr>
        <w:spacing w:after="120" w:before="80"/>
        <w:jc w:val="both"/>
      </w:pPr>
      <w:r>
        <w:rPr>
          <w:rFonts w:ascii="Arial" w:cs="Arial" w:eastAsia="Arial" w:hAnsi="Arial"/>
          <w:color w:val="1A1A1A"/>
          <w:sz w:val="20"/>
          <w:szCs w:val="20"/>
        </w:rPr>
        <w:t xml:space="preserve">Review of all existing cybersecurity policies, procedures, standards, guidelines, and supporting documentation. Evidence will be assessed for existence, completeness, approval status, currency, and practical implementation.</w:t>
      </w:r>
    </w:p>
    <w:p>
      <w:pPr>
        <w:pStyle w:val="Heading2"/>
        <w:spacing w:after="120" w:before="240"/>
      </w:pPr>
      <w:r>
        <w:rPr>
          <w:rFonts w:ascii="Arial" w:cs="Arial" w:eastAsia="Arial" w:hAnsi="Arial"/>
          <w:b/>
          <w:bCs/>
          <w:color w:val="1B2A4A"/>
          <w:sz w:val="24"/>
          <w:szCs w:val="24"/>
        </w:rPr>
        <w:t xml:space="preserve">5.2  Stakeholder Interviews</w:t>
      </w:r>
    </w:p>
    <w:p>
      <w:pPr>
        <w:spacing w:after="120" w:before="80"/>
        <w:jc w:val="both"/>
      </w:pPr>
      <w:r>
        <w:rPr>
          <w:rFonts w:ascii="Arial" w:cs="Arial" w:eastAsia="Arial" w:hAnsi="Arial"/>
          <w:color w:val="1A1A1A"/>
          <w:sz w:val="20"/>
          <w:szCs w:val="20"/>
        </w:rPr>
        <w:t xml:space="preserve">Structured interviews with key stakeholders including IT Operations Management, senior management, HR, and relevant business unit representatives to assess awareness, implementation, and operational effectiveness of security controls.</w:t>
      </w:r>
    </w:p>
    <w:p>
      <w:pPr>
        <w:pStyle w:val="Heading2"/>
        <w:spacing w:after="120" w:before="240"/>
      </w:pPr>
      <w:r>
        <w:rPr>
          <w:rFonts w:ascii="Arial" w:cs="Arial" w:eastAsia="Arial" w:hAnsi="Arial"/>
          <w:b/>
          <w:bCs/>
          <w:color w:val="1B2A4A"/>
          <w:sz w:val="24"/>
          <w:szCs w:val="24"/>
        </w:rPr>
        <w:t xml:space="preserve">5.3  System and Configuration Walkthroughs</w:t>
      </w:r>
    </w:p>
    <w:p>
      <w:pPr>
        <w:spacing w:after="120" w:before="80"/>
        <w:jc w:val="both"/>
      </w:pPr>
      <w:r>
        <w:rPr>
          <w:rFonts w:ascii="Arial" w:cs="Arial" w:eastAsia="Arial" w:hAnsi="Arial"/>
          <w:color w:val="1A1A1A"/>
          <w:sz w:val="20"/>
          <w:szCs w:val="20"/>
        </w:rPr>
        <w:t xml:space="preserve">Technical walkthroughs of in-scope systems including Oracle Insurance Policy Administration, Guidewire ClaimCenter, Microsoft Azure AD, and on-premise data centre infrastructure. Review of access control configurations, logging settings, patch status, and security configurations will be performed where access is provided.</w:t>
      </w:r>
    </w:p>
    <w:p>
      <w:pPr>
        <w:pStyle w:val="Heading2"/>
        <w:spacing w:after="120" w:before="240"/>
      </w:pPr>
      <w:r>
        <w:rPr>
          <w:rFonts w:ascii="Arial" w:cs="Arial" w:eastAsia="Arial" w:hAnsi="Arial"/>
          <w:b/>
          <w:bCs/>
          <w:color w:val="1B2A4A"/>
          <w:sz w:val="24"/>
          <w:szCs w:val="24"/>
        </w:rPr>
        <w:t xml:space="preserve">5.4  Evidence-Based Control Assessment</w:t>
      </w:r>
    </w:p>
    <w:p>
      <w:pPr>
        <w:spacing w:after="120" w:before="80"/>
        <w:jc w:val="both"/>
      </w:pPr>
      <w:r>
        <w:rPr>
          <w:rFonts w:ascii="Arial" w:cs="Arial" w:eastAsia="Arial" w:hAnsi="Arial"/>
          <w:color w:val="1A1A1A"/>
          <w:sz w:val="20"/>
          <w:szCs w:val="20"/>
        </w:rPr>
        <w:t xml:space="preserve">Each ECC-1:2018 control will be assessed against three possible ratings: Conformant (C) — control is fully implemented, documented, and evidenced; Partial (P) — control exists but implementation is incomplete, undocumented, or inconsistent; Non-Conformant (NC) — control is absent or significantly deficient.</w:t>
      </w:r>
    </w:p>
    <w:p>
      <w:pPr>
        <w:pStyle w:val="Heading2"/>
        <w:spacing w:after="120" w:before="240"/>
      </w:pPr>
      <w:r>
        <w:rPr>
          <w:rFonts w:ascii="Arial" w:cs="Arial" w:eastAsia="Arial" w:hAnsi="Arial"/>
          <w:b/>
          <w:bCs/>
          <w:color w:val="1B2A4A"/>
          <w:sz w:val="24"/>
          <w:szCs w:val="24"/>
        </w:rPr>
        <w:t xml:space="preserve">5.5  Risk Assessment</w:t>
      </w:r>
    </w:p>
    <w:p>
      <w:pPr>
        <w:spacing w:after="120" w:before="80"/>
        <w:jc w:val="both"/>
      </w:pPr>
      <w:r>
        <w:rPr>
          <w:rFonts w:ascii="Arial" w:cs="Arial" w:eastAsia="Arial" w:hAnsi="Arial"/>
          <w:color w:val="1A1A1A"/>
          <w:sz w:val="20"/>
          <w:szCs w:val="20"/>
        </w:rPr>
        <w:t xml:space="preserve">Identified control gaps will be assessed using a Likelihood × Impact risk methodology on a 1–5 scale, producing risk scores from 1 to 25. Risk ratings will be classified as: Critical (20–25), High (12–19), Medium (6–11), and Low (1–5). Live risks — those presenting an immediate and active threat — will be flagged for urgent management attention regardless of scheduled remediation phases.</w:t>
      </w:r>
    </w:p>
    <w:p>
      <w:pPr>
        <w:spacing w:after="0" w:before="120"/>
      </w:pPr>
      <w:r>
        <w:t xml:space="preserve"/>
      </w:r>
    </w:p>
    <w:p>
      <w:pPr>
        <w:pStyle w:val="Heading1"/>
        <w:spacing w:after="160" w:before="320"/>
      </w:pPr>
      <w:r>
        <w:rPr>
          <w:rFonts w:ascii="Arial" w:cs="Arial" w:eastAsia="Arial" w:hAnsi="Arial"/>
          <w:b/>
          <w:bCs/>
          <w:color w:val="1B2A4A"/>
          <w:sz w:val="28"/>
          <w:szCs w:val="28"/>
        </w:rPr>
        <w:t xml:space="preserve">6.  Engagement Timeline</w:t>
      </w:r>
    </w:p>
    <w:p>
      <w:pPr>
        <w:spacing w:after="120" w:before="80"/>
        <w:jc w:val="both"/>
      </w:pPr>
      <w:r>
        <w:rPr>
          <w:rFonts w:ascii="Arial" w:cs="Arial" w:eastAsia="Arial" w:hAnsi="Arial"/>
          <w:color w:val="1A1A1A"/>
          <w:sz w:val="20"/>
          <w:szCs w:val="20"/>
        </w:rPr>
        <w:t xml:space="preserve">The engagement will be conducted across five phases over the period 15 July 2024 to 31 October 2024:</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100"/>
        <w:gridCol w:w="5046"/>
      </w:tblGrid>
      <w:tr>
        <w:tc>
          <w:tcPr>
            <w:tcW w:type="dxa" w:w="1400"/>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200"/>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Duration</w:t>
            </w:r>
          </w:p>
        </w:tc>
        <w:tc>
          <w:tcPr>
            <w:tcW w:type="dxa" w:w="2100"/>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Dates</w:t>
            </w:r>
          </w:p>
        </w:tc>
        <w:tc>
          <w:tcPr>
            <w:tcW w:type="dxa" w:w="5046"/>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Activities</w:t>
            </w:r>
          </w:p>
        </w:tc>
      </w:tr>
      <w:tr>
        <w:tc>
          <w:tcPr>
            <w:tcW w:type="dxa" w:w="14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bCs/>
                <w:color w:val="1B2A4A"/>
                <w:sz w:val="18"/>
                <w:szCs w:val="18"/>
              </w:rPr>
              <w:t xml:space="preserve">Phase 1</w:t>
            </w:r>
          </w:p>
        </w:tc>
        <w:tc>
          <w:tcPr>
            <w:tcW w:type="dxa" w:w="12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Weeks 1–2</w:t>
            </w:r>
          </w:p>
        </w:tc>
        <w:tc>
          <w:tcPr>
            <w:tcW w:type="dxa" w:w="21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15–26 July 2024</w:t>
            </w:r>
          </w:p>
        </w:tc>
        <w:tc>
          <w:tcPr>
            <w:tcW w:type="dxa" w:w="5046"/>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Engagement kick-off · Document and evidence requests issued · Fieldwork planning and scheduling</w:t>
            </w:r>
          </w:p>
        </w:tc>
      </w:tr>
      <w:tr>
        <w:tc>
          <w:tcPr>
            <w:tcW w:type="dxa" w:w="14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bCs/>
                <w:color w:val="1B2A4A"/>
                <w:sz w:val="18"/>
                <w:szCs w:val="18"/>
              </w:rPr>
              <w:t xml:space="preserve">Phase 2</w:t>
            </w:r>
          </w:p>
        </w:tc>
        <w:tc>
          <w:tcPr>
            <w:tcW w:type="dxa" w:w="12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Weeks 3–5</w:t>
            </w:r>
          </w:p>
        </w:tc>
        <w:tc>
          <w:tcPr>
            <w:tcW w:type="dxa" w:w="21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29 July–16 Aug 2024</w:t>
            </w:r>
          </w:p>
        </w:tc>
        <w:tc>
          <w:tcPr>
            <w:tcW w:type="dxa" w:w="5046"/>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Fieldwork: stakeholder interviews, system walkthroughs, evidence review across all ECC-1:2018 domains</w:t>
            </w:r>
          </w:p>
        </w:tc>
      </w:tr>
      <w:tr>
        <w:tc>
          <w:tcPr>
            <w:tcW w:type="dxa" w:w="14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bCs/>
                <w:color w:val="1B2A4A"/>
                <w:sz w:val="18"/>
                <w:szCs w:val="18"/>
              </w:rPr>
              <w:t xml:space="preserve">Phase 3</w:t>
            </w:r>
          </w:p>
        </w:tc>
        <w:tc>
          <w:tcPr>
            <w:tcW w:type="dxa" w:w="12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Weeks 6–7</w:t>
            </w:r>
          </w:p>
        </w:tc>
        <w:tc>
          <w:tcPr>
            <w:tcW w:type="dxa" w:w="21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19–30 Aug 2024</w:t>
            </w:r>
          </w:p>
        </w:tc>
        <w:tc>
          <w:tcPr>
            <w:tcW w:type="dxa" w:w="5046"/>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SAMA CSF maturity assessment · Risk register development · Findings validation with IT and management</w:t>
            </w:r>
          </w:p>
        </w:tc>
      </w:tr>
      <w:tr>
        <w:tc>
          <w:tcPr>
            <w:tcW w:type="dxa" w:w="14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bCs/>
                <w:color w:val="1B2A4A"/>
                <w:sz w:val="18"/>
                <w:szCs w:val="18"/>
              </w:rPr>
              <w:t xml:space="preserve">Phase 4</w:t>
            </w:r>
          </w:p>
        </w:tc>
        <w:tc>
          <w:tcPr>
            <w:tcW w:type="dxa" w:w="12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Weeks 8–10</w:t>
            </w:r>
          </w:p>
        </w:tc>
        <w:tc>
          <w:tcPr>
            <w:tcW w:type="dxa" w:w="21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02–20 Sep 2024</w:t>
            </w:r>
          </w:p>
        </w:tc>
        <w:tc>
          <w:tcPr>
            <w:tcW w:type="dxa" w:w="5046"/>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Draft findings report preparation · Internal quality review · Client review period</w:t>
            </w:r>
          </w:p>
        </w:tc>
      </w:tr>
      <w:tr>
        <w:tc>
          <w:tcPr>
            <w:tcW w:type="dxa" w:w="14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bCs/>
                <w:color w:val="1B2A4A"/>
                <w:sz w:val="18"/>
                <w:szCs w:val="18"/>
              </w:rPr>
              <w:t xml:space="preserve">Phase 5</w:t>
            </w:r>
          </w:p>
        </w:tc>
        <w:tc>
          <w:tcPr>
            <w:tcW w:type="dxa" w:w="12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Weeks 11–16</w:t>
            </w:r>
          </w:p>
        </w:tc>
        <w:tc>
          <w:tcPr>
            <w:tcW w:type="dxa" w:w="21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23 Sep–31 Oct 2024</w:t>
            </w:r>
          </w:p>
        </w:tc>
        <w:tc>
          <w:tcPr>
            <w:tcW w:type="dxa" w:w="5046"/>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Client responses to draft · Final report issued · Executive summary delivered · Engagement closure</w:t>
            </w:r>
          </w:p>
        </w:tc>
      </w:tr>
    </w:tbl>
    <w:p>
      <w:pPr>
        <w:spacing w:after="0" w:before="200"/>
      </w:pPr>
      <w:r>
        <w:t xml:space="preserve"/>
      </w:r>
    </w:p>
    <w:p>
      <w:pPr>
        <w:pStyle w:val="Heading1"/>
        <w:spacing w:after="160" w:before="320"/>
      </w:pPr>
      <w:r>
        <w:rPr>
          <w:rFonts w:ascii="Arial" w:cs="Arial" w:eastAsia="Arial" w:hAnsi="Arial"/>
          <w:b/>
          <w:bCs/>
          <w:color w:val="1B2A4A"/>
          <w:sz w:val="28"/>
          <w:szCs w:val="28"/>
        </w:rPr>
        <w:t xml:space="preserve">7.  Deliverables</w:t>
      </w:r>
    </w:p>
    <w:p>
      <w:pPr>
        <w:spacing w:after="120" w:before="80"/>
        <w:jc w:val="both"/>
      </w:pPr>
      <w:r>
        <w:rPr>
          <w:rFonts w:ascii="Arial" w:cs="Arial" w:eastAsia="Arial" w:hAnsi="Arial"/>
          <w:color w:val="1A1A1A"/>
          <w:sz w:val="20"/>
          <w:szCs w:val="20"/>
        </w:rPr>
        <w:t xml:space="preserve">The following documents will be delivered to the Client upon completion of this engagement:</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900"/>
        <w:gridCol w:w="4646"/>
      </w:tblGrid>
      <w:tr>
        <w:tc>
          <w:tcPr>
            <w:tcW w:type="dxa" w:w="1300"/>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Ref</w:t>
            </w:r>
          </w:p>
        </w:tc>
        <w:tc>
          <w:tcPr>
            <w:tcW w:type="dxa" w:w="2900"/>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Document</w:t>
            </w:r>
          </w:p>
        </w:tc>
        <w:tc>
          <w:tcPr>
            <w:tcW w:type="dxa" w:w="900"/>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4646"/>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300"/>
            <w:tcBorders>
              <w:top w:val="single" w:color="D0D7E3" w:sz="1"/>
              <w:left w:val="single" w:color="D0D7E3" w:sz="1"/>
              <w:bottom w:val="single" w:color="D0D7E3" w:sz="1"/>
              <w:right w:val="single" w:color="D0D7E3" w:sz="1"/>
            </w:tcBorders>
            <w:shd w:fill="FFF8E7" w:val="clear"/>
            <w:tcMar>
              <w:top w:type="dxa" w:w="80"/>
              <w:left w:type="dxa" w:w="100"/>
              <w:bottom w:type="dxa" w:w="80"/>
              <w:right w:type="dxa" w:w="100"/>
            </w:tcMar>
          </w:tcPr>
          <w:p>
            <w:r>
              <w:rPr>
                <w:rFonts w:ascii="Arial" w:cs="Arial" w:eastAsia="Arial" w:hAnsi="Arial"/>
                <w:b/>
                <w:bCs/>
                <w:color w:val="1B2A4A"/>
                <w:sz w:val="18"/>
                <w:szCs w:val="18"/>
              </w:rPr>
              <w:t xml:space="preserve">RCA-P3-001</w:t>
            </w:r>
          </w:p>
        </w:tc>
        <w:tc>
          <w:tcPr>
            <w:tcW w:type="dxa" w:w="2900"/>
            <w:tcBorders>
              <w:top w:val="single" w:color="D0D7E3" w:sz="1"/>
              <w:left w:val="single" w:color="D0D7E3" w:sz="1"/>
              <w:bottom w:val="single" w:color="D0D7E3" w:sz="1"/>
              <w:right w:val="single" w:color="D0D7E3" w:sz="1"/>
            </w:tcBorders>
            <w:shd w:fill="FFF8E7" w:val="clear"/>
            <w:tcMar>
              <w:top w:type="dxa" w:w="80"/>
              <w:left w:type="dxa" w:w="100"/>
              <w:bottom w:type="dxa" w:w="80"/>
              <w:right w:type="dxa" w:w="100"/>
            </w:tcMar>
          </w:tcPr>
          <w:p>
            <w:r>
              <w:rPr>
                <w:rFonts w:ascii="Arial" w:cs="Arial" w:eastAsia="Arial" w:hAnsi="Arial"/>
                <w:b/>
                <w:bCs/>
                <w:color w:val="1B2A4A"/>
                <w:sz w:val="18"/>
                <w:szCs w:val="18"/>
              </w:rPr>
              <w:t xml:space="preserve">Audit Engagement Letter &amp; Scope of Work</w:t>
            </w:r>
          </w:p>
        </w:tc>
        <w:tc>
          <w:tcPr>
            <w:tcW w:type="dxa" w:w="900"/>
            <w:tcBorders>
              <w:top w:val="single" w:color="D0D7E3" w:sz="1"/>
              <w:left w:val="single" w:color="D0D7E3" w:sz="1"/>
              <w:bottom w:val="single" w:color="D0D7E3" w:sz="1"/>
              <w:right w:val="single" w:color="D0D7E3" w:sz="1"/>
            </w:tcBorders>
            <w:shd w:fill="FFF8E7" w:val="clear"/>
            <w:tcMar>
              <w:top w:type="dxa" w:w="80"/>
              <w:left w:type="dxa" w:w="100"/>
              <w:bottom w:type="dxa" w:w="80"/>
              <w:right w:type="dxa" w:w="100"/>
            </w:tcMar>
          </w:tcPr>
          <w:p>
            <w:r>
              <w:rPr>
                <w:rFonts w:ascii="Arial" w:cs="Arial" w:eastAsia="Arial" w:hAnsi="Arial"/>
                <w:b/>
                <w:bCs/>
                <w:color w:val="1B2A4A"/>
                <w:sz w:val="18"/>
                <w:szCs w:val="18"/>
              </w:rPr>
              <w:t xml:space="preserve">Word</w:t>
            </w:r>
          </w:p>
        </w:tc>
        <w:tc>
          <w:tcPr>
            <w:tcW w:type="dxa" w:w="4646"/>
            <w:tcBorders>
              <w:top w:val="single" w:color="D0D7E3" w:sz="1"/>
              <w:left w:val="single" w:color="D0D7E3" w:sz="1"/>
              <w:bottom w:val="single" w:color="D0D7E3" w:sz="1"/>
              <w:right w:val="single" w:color="D0D7E3" w:sz="1"/>
            </w:tcBorders>
            <w:shd w:fill="FFF8E7" w:val="clear"/>
            <w:tcMar>
              <w:top w:type="dxa" w:w="80"/>
              <w:left w:type="dxa" w:w="100"/>
              <w:bottom w:type="dxa" w:w="80"/>
              <w:right w:type="dxa" w:w="100"/>
            </w:tcMar>
          </w:tcPr>
          <w:p>
            <w:r>
              <w:rPr>
                <w:rFonts w:ascii="Arial" w:cs="Arial" w:eastAsia="Arial" w:hAnsi="Arial"/>
                <w:b/>
                <w:bCs/>
                <w:color w:val="1B2A4A"/>
                <w:sz w:val="18"/>
                <w:szCs w:val="18"/>
              </w:rPr>
              <w:t xml:space="preserve">This document — engagement terms, scope, timeline, and responsibilities</w:t>
            </w:r>
          </w:p>
        </w:tc>
      </w:tr>
      <w:tr>
        <w:tc>
          <w:tcPr>
            <w:tcW w:type="dxa" w:w="13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bCs/>
                <w:color w:val="1B2A4A"/>
                <w:sz w:val="18"/>
                <w:szCs w:val="18"/>
              </w:rPr>
              <w:t xml:space="preserve">RCA-P3-002</w:t>
            </w:r>
          </w:p>
        </w:tc>
        <w:tc>
          <w:tcPr>
            <w:tcW w:type="dxa" w:w="29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bCs/>
                <w:color w:val="1B2A4A"/>
                <w:sz w:val="18"/>
                <w:szCs w:val="18"/>
              </w:rPr>
              <w:t xml:space="preserve">Audit Fieldwork Checklist</w:t>
            </w:r>
          </w:p>
        </w:tc>
        <w:tc>
          <w:tcPr>
            <w:tcW w:type="dxa" w:w="9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Excel</w:t>
            </w:r>
          </w:p>
        </w:tc>
        <w:tc>
          <w:tcPr>
            <w:tcW w:type="dxa" w:w="4646"/>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Evidence request list and fieldwork tracking across all ECC-1:2018 controls</w:t>
            </w:r>
          </w:p>
        </w:tc>
      </w:tr>
      <w:tr>
        <w:tc>
          <w:tcPr>
            <w:tcW w:type="dxa" w:w="13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bCs/>
                <w:color w:val="1B2A4A"/>
                <w:sz w:val="18"/>
                <w:szCs w:val="18"/>
              </w:rPr>
              <w:t xml:space="preserve">RCA-P3-003</w:t>
            </w:r>
          </w:p>
        </w:tc>
        <w:tc>
          <w:tcPr>
            <w:tcW w:type="dxa" w:w="29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bCs/>
                <w:color w:val="1B2A4A"/>
                <w:sz w:val="18"/>
                <w:szCs w:val="18"/>
              </w:rPr>
              <w:t xml:space="preserve">NCA ECC + SAMA CSF Audit Findings Report</w:t>
            </w:r>
          </w:p>
        </w:tc>
        <w:tc>
          <w:tcPr>
            <w:tcW w:type="dxa" w:w="9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Word</w:t>
            </w:r>
          </w:p>
        </w:tc>
        <w:tc>
          <w:tcPr>
            <w:tcW w:type="dxa" w:w="4646"/>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Full audit findings report — non-conformities, observations, risk ratings, and recommendations</w:t>
            </w:r>
          </w:p>
        </w:tc>
      </w:tr>
      <w:tr>
        <w:tc>
          <w:tcPr>
            <w:tcW w:type="dxa" w:w="13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bCs/>
                <w:color w:val="1B2A4A"/>
                <w:sz w:val="18"/>
                <w:szCs w:val="18"/>
              </w:rPr>
              <w:t xml:space="preserve">RCA-P3-004</w:t>
            </w:r>
          </w:p>
        </w:tc>
        <w:tc>
          <w:tcPr>
            <w:tcW w:type="dxa" w:w="29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bCs/>
                <w:color w:val="1B2A4A"/>
                <w:sz w:val="18"/>
                <w:szCs w:val="18"/>
              </w:rPr>
              <w:t xml:space="preserve">Risk Register</w:t>
            </w:r>
          </w:p>
        </w:tc>
        <w:tc>
          <w:tcPr>
            <w:tcW w:type="dxa" w:w="9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Excel</w:t>
            </w:r>
          </w:p>
        </w:tc>
        <w:tc>
          <w:tcPr>
            <w:tcW w:type="dxa" w:w="4646"/>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Consolidated risk register with likelihood, impact, risk scores, and ownership</w:t>
            </w:r>
          </w:p>
        </w:tc>
      </w:tr>
      <w:tr>
        <w:tc>
          <w:tcPr>
            <w:tcW w:type="dxa" w:w="13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bCs/>
                <w:color w:val="1B2A4A"/>
                <w:sz w:val="18"/>
                <w:szCs w:val="18"/>
              </w:rPr>
              <w:t xml:space="preserve">RCA-P3-005</w:t>
            </w:r>
          </w:p>
        </w:tc>
        <w:tc>
          <w:tcPr>
            <w:tcW w:type="dxa" w:w="29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bCs/>
                <w:color w:val="1B2A4A"/>
                <w:sz w:val="18"/>
                <w:szCs w:val="18"/>
              </w:rPr>
              <w:t xml:space="preserve">Corrective Action Plan</w:t>
            </w:r>
          </w:p>
        </w:tc>
        <w:tc>
          <w:tcPr>
            <w:tcW w:type="dxa" w:w="9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Excel</w:t>
            </w:r>
          </w:p>
        </w:tc>
        <w:tc>
          <w:tcPr>
            <w:tcW w:type="dxa" w:w="4646"/>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r>
              <w:rPr>
                <w:rFonts w:ascii="Arial" w:cs="Arial" w:eastAsia="Arial" w:hAnsi="Arial"/>
                <w:b w:val="false"/>
                <w:bCs w:val="false"/>
                <w:color w:val="1A1A1A"/>
                <w:sz w:val="18"/>
                <w:szCs w:val="18"/>
              </w:rPr>
              <w:t xml:space="preserve">Prioritised corrective action plan with timelines, owners, and status tracking</w:t>
            </w:r>
          </w:p>
        </w:tc>
      </w:tr>
      <w:tr>
        <w:tc>
          <w:tcPr>
            <w:tcW w:type="dxa" w:w="13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bCs/>
                <w:color w:val="1B2A4A"/>
                <w:sz w:val="18"/>
                <w:szCs w:val="18"/>
              </w:rPr>
              <w:t xml:space="preserve">RCA-P3-006</w:t>
            </w:r>
          </w:p>
        </w:tc>
        <w:tc>
          <w:tcPr>
            <w:tcW w:type="dxa" w:w="29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bCs/>
                <w:color w:val="1B2A4A"/>
                <w:sz w:val="18"/>
                <w:szCs w:val="18"/>
              </w:rPr>
              <w:t xml:space="preserve">Executive Summary</w:t>
            </w:r>
          </w:p>
        </w:tc>
        <w:tc>
          <w:tcPr>
            <w:tcW w:type="dxa" w:w="9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Word</w:t>
            </w:r>
          </w:p>
        </w:tc>
        <w:tc>
          <w:tcPr>
            <w:tcW w:type="dxa" w:w="4646"/>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Board and senior management summary — posture overview, critical findings, and remediation priorities</w:t>
            </w:r>
          </w:p>
        </w:tc>
      </w:tr>
    </w:tbl>
    <w:p>
      <w:pPr>
        <w:spacing w:after="0" w:before="120"/>
      </w:pPr>
      <w:r>
        <w:t xml:space="preserve"/>
      </w:r>
    </w:p>
    <w:p>
      <w:pPr>
        <w:spacing w:after="120" w:before="80"/>
        <w:jc w:val="both"/>
      </w:pPr>
      <w:r>
        <w:rPr>
          <w:rFonts w:ascii="Arial" w:cs="Arial" w:eastAsia="Arial" w:hAnsi="Arial"/>
          <w:color w:val="1A1A1A"/>
          <w:sz w:val="20"/>
          <w:szCs w:val="20"/>
        </w:rPr>
        <w:t xml:space="preserve">All deliverables will be provided in digital format. The final report and executive summary will be issued in password-protected PDF format in addition to the working document format. Draft reports will be shared for Client review prior to finalisation.</w:t>
      </w:r>
    </w:p>
    <w:p>
      <w:pPr>
        <w:spacing w:after="0" w:before="120"/>
      </w:pPr>
      <w:r>
        <w:t xml:space="preserve"/>
      </w:r>
    </w:p>
    <w:p>
      <w:pPr>
        <w:pStyle w:val="Heading1"/>
        <w:spacing w:after="160" w:before="320"/>
      </w:pPr>
      <w:r>
        <w:rPr>
          <w:rFonts w:ascii="Arial" w:cs="Arial" w:eastAsia="Arial" w:hAnsi="Arial"/>
          <w:b/>
          <w:bCs/>
          <w:color w:val="1B2A4A"/>
          <w:sz w:val="28"/>
          <w:szCs w:val="28"/>
        </w:rPr>
        <w:t xml:space="preserve">8.  Roles and Responsibilities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46"/>
        <w:gridCol w:w="2100"/>
        <w:gridCol w:w="2100"/>
      </w:tblGrid>
      <w:tr>
        <w:tc>
          <w:tcPr>
            <w:tcW w:type="dxa" w:w="5546"/>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Responsibility</w:t>
            </w:r>
          </w:p>
        </w:tc>
        <w:tc>
          <w:tcPr>
            <w:tcW w:type="dxa" w:w="2100"/>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Firm</w:t>
            </w:r>
          </w:p>
        </w:tc>
        <w:tc>
          <w:tcPr>
            <w:tcW w:type="dxa" w:w="2100"/>
            <w:tcBorders>
              <w:top w:val="single" w:color="D0D7E3" w:sz="1"/>
              <w:left w:val="single" w:color="D0D7E3" w:sz="1"/>
              <w:bottom w:val="single" w:color="D0D7E3" w:sz="1"/>
              <w:right w:val="single" w:color="D0D7E3" w:sz="1"/>
            </w:tcBorders>
            <w:shd w:fill="1B2A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Client</w:t>
            </w:r>
          </w:p>
        </w:tc>
      </w:tr>
      <w:tr>
        <w:tc>
          <w:tcPr>
            <w:tcW w:type="dxa" w:w="55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Audit planning and methodology</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c>
          <w:tcPr>
            <w:tcW w:type="dxa" w:w="21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r>
      <w:tr>
        <w:tc>
          <w:tcPr>
            <w:tcW w:type="dxa" w:w="5546"/>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Fieldwork execution and evidence review</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c>
          <w:tcPr>
            <w:tcW w:type="dxa" w:w="21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r>
      <w:tr>
        <w:tc>
          <w:tcPr>
            <w:tcW w:type="dxa" w:w="55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Findings identification and risk rating</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c>
          <w:tcPr>
            <w:tcW w:type="dxa" w:w="21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r>
      <w:tr>
        <w:tc>
          <w:tcPr>
            <w:tcW w:type="dxa" w:w="5546"/>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Draft and final report preparation</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c>
          <w:tcPr>
            <w:tcW w:type="dxa" w:w="21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r>
      <w:tr>
        <w:tc>
          <w:tcPr>
            <w:tcW w:type="dxa" w:w="55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Executive summary preparation</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c>
          <w:tcPr>
            <w:tcW w:type="dxa" w:w="21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r>
      <w:tr>
        <w:tc>
          <w:tcPr>
            <w:tcW w:type="dxa" w:w="5546"/>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Provision of requested documentation and evidence</w:t>
            </w:r>
          </w:p>
        </w:tc>
        <w:tc>
          <w:tcPr>
            <w:tcW w:type="dxa" w:w="21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r>
      <w:tr>
        <w:tc>
          <w:tcPr>
            <w:tcW w:type="dxa" w:w="55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Stakeholder availability for interviews and walkthroughs</w:t>
            </w:r>
          </w:p>
        </w:tc>
        <w:tc>
          <w:tcPr>
            <w:tcW w:type="dxa" w:w="21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r>
      <w:tr>
        <w:tc>
          <w:tcPr>
            <w:tcW w:type="dxa" w:w="5546"/>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Review and response to draft findings within agreed timeline</w:t>
            </w:r>
          </w:p>
        </w:tc>
        <w:tc>
          <w:tcPr>
            <w:tcW w:type="dxa" w:w="2100"/>
            <w:tcBorders>
              <w:top w:val="single" w:color="D0D7E3" w:sz="1"/>
              <w:left w:val="single" w:color="D0D7E3" w:sz="1"/>
              <w:bottom w:val="single" w:color="D0D7E3" w:sz="1"/>
              <w:right w:val="single" w:color="D0D7E3" w:sz="1"/>
            </w:tcBorders>
            <w:shd w:fill="FFFFFF"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r>
      <w:tr>
        <w:tc>
          <w:tcPr>
            <w:tcW w:type="dxa" w:w="55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Implementation of corrective actions</w:t>
            </w:r>
          </w:p>
        </w:tc>
        <w:tc>
          <w:tcPr>
            <w:tcW w:type="dxa" w:w="2100"/>
            <w:tcBorders>
              <w:top w:val="single" w:color="D0D7E3" w:sz="1"/>
              <w:left w:val="single" w:color="D0D7E3" w:sz="1"/>
              <w:bottom w:val="single" w:color="D0D7E3" w:sz="1"/>
              <w:right w:val="single" w:color="D0D7E3" w:sz="1"/>
            </w:tcBorders>
            <w:shd w:fill="EEF1F7"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r>
      <w:tr>
        <w:tc>
          <w:tcPr>
            <w:tcW w:type="dxa" w:w="5546"/>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Escalation of audit scope changes or material issues</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r>
      <w:tr>
        <w:tc>
          <w:tcPr>
            <w:tcW w:type="dxa" w:w="5546"/>
            <w:tcBorders>
              <w:top w:val="single" w:color="D0D7E3" w:sz="1"/>
              <w:left w:val="single" w:color="D0D7E3" w:sz="1"/>
              <w:bottom w:val="single" w:color="D0D7E3" w:sz="1"/>
              <w:right w:val="single" w:color="D0D7E3" w:sz="1"/>
            </w:tcBorders>
            <w:shd w:fill="EEF1F7" w:val="clear"/>
            <w:tcMar>
              <w:top w:type="dxa" w:w="80"/>
              <w:left w:type="dxa" w:w="120"/>
              <w:bottom w:type="dxa" w:w="80"/>
              <w:right w:type="dxa" w:w="120"/>
            </w:tcMar>
          </w:tcPr>
          <w:p>
            <w:r>
              <w:rPr>
                <w:rFonts w:ascii="Arial" w:cs="Arial" w:eastAsia="Arial" w:hAnsi="Arial"/>
                <w:color w:val="1A1A1A"/>
                <w:sz w:val="19"/>
                <w:szCs w:val="19"/>
              </w:rPr>
              <w:t xml:space="preserve">Maintenance of document confidentiality</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c>
          <w:tcPr>
            <w:tcW w:type="dxa" w:w="2100"/>
            <w:tcBorders>
              <w:top w:val="single" w:color="D0D7E3" w:sz="1"/>
              <w:left w:val="single" w:color="D0D7E3" w:sz="1"/>
              <w:bottom w:val="single" w:color="D0D7E3" w:sz="1"/>
              <w:right w:val="single" w:color="D0D7E3" w:sz="1"/>
            </w:tcBorders>
            <w:shd w:fill="E8F0E8" w:val="clear"/>
            <w:tcMar>
              <w:top w:type="dxa" w:w="80"/>
              <w:left w:type="dxa" w:w="100"/>
              <w:bottom w:type="dxa" w:w="80"/>
              <w:right w:type="dxa" w:w="100"/>
            </w:tcMar>
          </w:tcPr>
          <w:p>
            <w:pPr>
              <w:jc w:val="center"/>
            </w:pPr>
            <w:r>
              <w:rPr>
                <w:rFonts w:ascii="Arial" w:cs="Arial" w:eastAsia="Arial" w:hAnsi="Arial"/>
                <w:b/>
                <w:bCs/>
                <w:color w:val="2D6A2D"/>
                <w:sz w:val="20"/>
                <w:szCs w:val="20"/>
              </w:rPr>
              <w:t xml:space="preserve">✓</w:t>
            </w:r>
          </w:p>
        </w:tc>
      </w:tr>
    </w:tbl>
    <w:p>
      <w:pPr>
        <w:spacing w:after="0" w:before="200"/>
      </w:pPr>
      <w:r>
        <w:t xml:space="preserve"/>
      </w:r>
    </w:p>
    <w:p>
      <w:pPr>
        <w:pStyle w:val="Heading1"/>
        <w:spacing w:after="160" w:before="320"/>
      </w:pPr>
      <w:r>
        <w:rPr>
          <w:rFonts w:ascii="Arial" w:cs="Arial" w:eastAsia="Arial" w:hAnsi="Arial"/>
          <w:b/>
          <w:bCs/>
          <w:color w:val="1B2A4A"/>
          <w:sz w:val="28"/>
          <w:szCs w:val="28"/>
        </w:rPr>
        <w:t xml:space="preserve">9.  Confidentiality and Data Handling</w:t>
      </w:r>
    </w:p>
    <w:p>
      <w:pPr>
        <w:spacing w:after="120" w:before="80"/>
        <w:jc w:val="both"/>
      </w:pPr>
      <w:r>
        <w:rPr>
          <w:rFonts w:ascii="Arial" w:cs="Arial" w:eastAsia="Arial" w:hAnsi="Arial"/>
          <w:color w:val="1A1A1A"/>
          <w:sz w:val="20"/>
          <w:szCs w:val="20"/>
        </w:rPr>
        <w:t xml:space="preserve">All information, documentation, and data shared by the Client in connection with this engagement shall be treated as strictly confidential by the Firm. The Firm shall not disclose, reproduce, or distribute any Client information to any third party without the prior written consent of the Client, except where required by applicable law or regulatory authority.</w:t>
      </w:r>
    </w:p>
    <w:p>
      <w:pPr>
        <w:spacing w:after="120" w:before="80"/>
        <w:jc w:val="both"/>
      </w:pPr>
      <w:r>
        <w:rPr>
          <w:rFonts w:ascii="Arial" w:cs="Arial" w:eastAsia="Arial" w:hAnsi="Arial"/>
          <w:color w:val="1A1A1A"/>
          <w:sz w:val="20"/>
          <w:szCs w:val="20"/>
        </w:rPr>
        <w:t xml:space="preserve">Documents produced by the Firm in the course of this engagement — including draft and final reports, working papers, and deliverables — are proprietary to Resolute Compliance Advisory LLP and are provided exclusively for the Client's internal use. Redistribution or use outside the Client organisation requires the prior written consent of the Firm.</w:t>
      </w:r>
    </w:p>
    <w:p>
      <w:pPr>
        <w:spacing w:after="120" w:before="80"/>
        <w:jc w:val="both"/>
      </w:pPr>
      <w:r>
        <w:rPr>
          <w:rFonts w:ascii="Arial" w:cs="Arial" w:eastAsia="Arial" w:hAnsi="Arial"/>
          <w:color w:val="1A1A1A"/>
          <w:sz w:val="20"/>
          <w:szCs w:val="20"/>
        </w:rPr>
        <w:t xml:space="preserve">The Firm will handle all Client data in accordance with applicable data protection obligations. No Client data will be retained beyond the period necessary for the completion of this engagement, unless otherwise agreed in writing.</w:t>
      </w:r>
    </w:p>
    <w:p>
      <w:pPr>
        <w:spacing w:after="0" w:before="120"/>
      </w:pPr>
      <w:r>
        <w:t xml:space="preserve"/>
      </w:r>
    </w:p>
    <w:p>
      <w:pPr>
        <w:pStyle w:val="Heading1"/>
        <w:spacing w:after="160" w:before="320"/>
      </w:pPr>
      <w:r>
        <w:rPr>
          <w:rFonts w:ascii="Arial" w:cs="Arial" w:eastAsia="Arial" w:hAnsi="Arial"/>
          <w:b/>
          <w:bCs/>
          <w:color w:val="1B2A4A"/>
          <w:sz w:val="28"/>
          <w:szCs w:val="28"/>
        </w:rPr>
        <w:t xml:space="preserve">10.  Acceptance</w:t>
      </w:r>
    </w:p>
    <w:p>
      <w:pPr>
        <w:spacing w:after="120" w:before="80"/>
        <w:jc w:val="both"/>
      </w:pPr>
      <w:r>
        <w:rPr>
          <w:rFonts w:ascii="Arial" w:cs="Arial" w:eastAsia="Arial" w:hAnsi="Arial"/>
          <w:color w:val="1A1A1A"/>
          <w:sz w:val="20"/>
          <w:szCs w:val="20"/>
        </w:rPr>
        <w:t xml:space="preserve">By signing below, both parties confirm their agreement to the terms, scope, timeline, and responsibilities set out in this Audit Engagement Letter. This document constitutes the formal authorisation to commence the engagement.</w:t>
      </w:r>
    </w:p>
    <w:p>
      <w:pPr>
        <w:spacing w:after="0" w:before="200"/>
      </w:pPr>
      <w:r>
        <w:t xml:space="preserve"/>
      </w:r>
    </w:p>
    <w:tbl>
      <w:tblPr>
        <w:tblW w:type="dxa" w:w="9746"/>
        <w:tblBorders>
          <w:top w:val="none"/>
          <w:left w:val="none"/>
          <w:bottom w:val="none"/>
          <w:right w:val="none"/>
          <w:insideH w:val="single" w:color="auto" w:sz="4"/>
          <w:insideV w:val="single" w:color="auto" w:sz="4"/>
        </w:tblBorders>
      </w:tblPr>
      <w:tblGrid>
        <w:gridCol w:w="4600"/>
        <w:gridCol w:w="400"/>
        <w:gridCol w:w="4746"/>
      </w:tblGrid>
      <w:tr>
        <w:tc>
          <w:tcPr>
            <w:tcW w:type="dxa" w:w="4600"/>
            <w:tcBorders>
              <w:top w:val="none" w:color="FFFFFF" w:sz="0"/>
              <w:left w:val="none" w:color="FFFFFF" w:sz="0"/>
              <w:bottom w:val="none" w:color="FFFFFF" w:sz="0"/>
              <w:right w:val="none" w:color="FFFFFF" w:sz="0"/>
            </w:tcBorders>
            <w:shd w:fill="EEF1F7" w:val="clear"/>
            <w:tcMar>
              <w:top w:type="dxa" w:w="160"/>
              <w:left w:type="dxa" w:w="200"/>
              <w:bottom w:type="dxa" w:w="160"/>
              <w:right w:type="dxa" w:w="200"/>
            </w:tcMar>
          </w:tcPr>
          <w:p>
            <w:r>
              <w:rPr>
                <w:rFonts w:ascii="Arial" w:cs="Arial" w:eastAsia="Arial" w:hAnsi="Arial"/>
                <w:b/>
                <w:bCs/>
                <w:color w:val="1B2A4A"/>
                <w:sz w:val="18"/>
                <w:szCs w:val="18"/>
              </w:rPr>
              <w:t xml:space="preserve">For Resolute Compliance Advisory LLP</w:t>
            </w:r>
          </w:p>
          <w:p>
            <w:pPr>
              <w:spacing w:after="0" w:before="200"/>
            </w:pPr>
            <w:r>
              <w:t xml:space="preserve"/>
            </w:r>
          </w:p>
          <w:p>
            <w:pPr>
              <w:pBdr>
                <w:bottom w:val="single" w:color="1B2A4A" w:sz="4"/>
              </w:pBdr>
            </w:pPr>
            <w:r>
              <w:rPr>
                <w:rFonts w:ascii="Arial" w:cs="Arial" w:eastAsia="Arial" w:hAnsi="Arial"/>
                <w:sz w:val="18"/>
                <w:szCs w:val="18"/>
              </w:rPr>
              <w:t xml:space="preserve"> </w:t>
            </w:r>
          </w:p>
          <w:p>
            <w:pPr>
              <w:spacing w:after="0" w:before="60"/>
            </w:pPr>
            <w:r>
              <w:t xml:space="preserve"/>
            </w:r>
          </w:p>
          <w:p>
            <w:r>
              <w:rPr>
                <w:rFonts w:ascii="Arial" w:cs="Arial" w:eastAsia="Arial" w:hAnsi="Arial"/>
                <w:b/>
                <w:bCs/>
                <w:color w:val="1A1A1A"/>
                <w:sz w:val="20"/>
                <w:szCs w:val="20"/>
              </w:rPr>
              <w:t xml:space="preserve">kay Shahbaaz</w:t>
            </w:r>
          </w:p>
          <w:p>
            <w:r>
              <w:rPr>
                <w:rFonts w:ascii="Arial" w:cs="Arial" w:eastAsia="Arial" w:hAnsi="Arial"/>
                <w:color w:val="666666"/>
                <w:sz w:val="18"/>
                <w:szCs w:val="18"/>
              </w:rPr>
              <w:t xml:space="preserve">GRC Auditor</w:t>
            </w:r>
          </w:p>
          <w:p>
            <w:r>
              <w:rPr>
                <w:rFonts w:ascii="Arial" w:cs="Arial" w:eastAsia="Arial" w:hAnsi="Arial"/>
                <w:color w:val="666666"/>
                <w:sz w:val="18"/>
                <w:szCs w:val="18"/>
              </w:rPr>
              <w:t xml:space="preserve">Resolute Compliance Advisory LLP</w:t>
            </w:r>
          </w:p>
          <w:p>
            <w:r>
              <w:rPr>
                <w:rFonts w:ascii="Arial" w:cs="Arial" w:eastAsia="Arial" w:hAnsi="Arial"/>
                <w:color w:val="666666"/>
                <w:sz w:val="18"/>
                <w:szCs w:val="18"/>
              </w:rPr>
              <w:t xml:space="preserve">Date: 15 July 2024</w:t>
            </w:r>
          </w:p>
        </w:tc>
        <w:tc>
          <w:tcPr>
            <w:tcW w:type="dxa" w:w="400"/>
            <w:tcBorders>
              <w:top w:val="none" w:color="FFFFFF" w:sz="0"/>
              <w:left w:val="none" w:color="FFFFFF" w:sz="0"/>
              <w:bottom w:val="none" w:color="FFFFFF" w:sz="0"/>
              <w:right w:val="none" w:color="FFFFFF" w:sz="0"/>
            </w:tcBorders>
          </w:tcPr>
          <w:p/>
        </w:tc>
        <w:tc>
          <w:tcPr>
            <w:tcW w:type="dxa" w:w="4746"/>
            <w:tcBorders>
              <w:top w:val="none" w:color="FFFFFF" w:sz="0"/>
              <w:left w:val="none" w:color="FFFFFF" w:sz="0"/>
              <w:bottom w:val="none" w:color="FFFFFF" w:sz="0"/>
              <w:right w:val="none" w:color="FFFFFF" w:sz="0"/>
            </w:tcBorders>
            <w:shd w:fill="EEF1F7" w:val="clear"/>
            <w:tcMar>
              <w:top w:type="dxa" w:w="160"/>
              <w:left w:type="dxa" w:w="200"/>
              <w:bottom w:type="dxa" w:w="160"/>
              <w:right w:type="dxa" w:w="200"/>
            </w:tcMar>
          </w:tcPr>
          <w:p>
            <w:r>
              <w:rPr>
                <w:rFonts w:ascii="Arial" w:cs="Arial" w:eastAsia="Arial" w:hAnsi="Arial"/>
                <w:b/>
                <w:bCs/>
                <w:color w:val="1B2A4A"/>
                <w:sz w:val="18"/>
                <w:szCs w:val="18"/>
              </w:rPr>
              <w:t xml:space="preserve">For Al Ameen Insurance Company</w:t>
            </w:r>
          </w:p>
          <w:p>
            <w:pPr>
              <w:spacing w:after="0" w:before="200"/>
            </w:pPr>
            <w:r>
              <w:t xml:space="preserve"/>
            </w:r>
          </w:p>
          <w:p>
            <w:pPr>
              <w:pBdr>
                <w:bottom w:val="single" w:color="1B2A4A" w:sz="4"/>
              </w:pBdr>
            </w:pPr>
            <w:r>
              <w:rPr>
                <w:rFonts w:ascii="Arial" w:cs="Arial" w:eastAsia="Arial" w:hAnsi="Arial"/>
                <w:sz w:val="18"/>
                <w:szCs w:val="18"/>
              </w:rPr>
              <w:t xml:space="preserve"> </w:t>
            </w:r>
          </w:p>
          <w:p>
            <w:pPr>
              <w:spacing w:after="0" w:before="60"/>
            </w:pPr>
            <w:r>
              <w:t xml:space="preserve"/>
            </w:r>
          </w:p>
          <w:p>
            <w:r>
              <w:rPr>
                <w:rFonts w:ascii="Arial" w:cs="Arial" w:eastAsia="Arial" w:hAnsi="Arial"/>
                <w:b/>
                <w:bCs/>
                <w:color w:val="1A1A1A"/>
                <w:sz w:val="20"/>
                <w:szCs w:val="20"/>
              </w:rPr>
              <w:t xml:space="preserve">Authorised Signatory</w:t>
            </w:r>
          </w:p>
          <w:p>
            <w:r>
              <w:rPr>
                <w:rFonts w:ascii="Arial" w:cs="Arial" w:eastAsia="Arial" w:hAnsi="Arial"/>
                <w:color w:val="666666"/>
                <w:sz w:val="18"/>
                <w:szCs w:val="18"/>
              </w:rPr>
              <w:t xml:space="preserve">Name &amp; Title:</w:t>
            </w:r>
          </w:p>
          <w:p>
            <w:r>
              <w:rPr>
                <w:rFonts w:ascii="Arial" w:cs="Arial" w:eastAsia="Arial" w:hAnsi="Arial"/>
                <w:color w:val="666666"/>
                <w:sz w:val="18"/>
                <w:szCs w:val="18"/>
              </w:rPr>
              <w:t xml:space="preserve">Al Ameen Insurance Company</w:t>
            </w:r>
          </w:p>
          <w:p>
            <w:r>
              <w:rPr>
                <w:rFonts w:ascii="Arial" w:cs="Arial" w:eastAsia="Arial" w:hAnsi="Arial"/>
                <w:color w:val="666666"/>
                <w:sz w:val="18"/>
                <w:szCs w:val="18"/>
              </w:rPr>
              <w:t xml:space="preserve">Date: _______________</w:t>
            </w:r>
          </w:p>
        </w:tc>
      </w:tr>
    </w:tbl>
    <w:p>
      <w:pPr>
        <w:spacing w:after="0" w:before="20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1B2A4A" w:sz="4" w:space="1"/>
      </w:pBdr>
      <w:spacing w:after="0" w:before="0"/>
    </w:pPr>
    <w:r>
      <w:t xml:space="preserve"/>
    </w:r>
  </w:p>
  <w:p>
    <w:pPr>
      <w:spacing w:after="0" w:before="40"/>
    </w:pPr>
    <w:r>
      <w:t xml:space="preserve"/>
    </w:r>
  </w:p>
  <w:p>
    <w:pPr>
      <w:tabs>
        <w:tab w:val="center" w:pos="4873"/>
        <w:tab w:val="right" w:pos="9746"/>
      </w:tabs>
    </w:pPr>
    <w:r>
      <w:rPr>
        <w:rFonts w:ascii="Arial" w:cs="Arial" w:eastAsia="Arial" w:hAnsi="Arial"/>
        <w:color w:val="666666"/>
        <w:sz w:val="16"/>
        <w:szCs w:val="16"/>
      </w:rPr>
      <w:t xml:space="preserve">Resolute Compliance Advisory LLP  ·  RCA-P3-001  ·  v1.0</w:t>
    </w:r>
    <w:r>
      <w:rPr>
        <w:rFonts w:ascii="Arial" w:cs="Arial" w:eastAsia="Arial" w:hAnsi="Arial"/>
        <w:sz w:val="16"/>
        <w:szCs w:val="16"/>
      </w:rPr>
      <w:t xml:space="preserve">	</w:t>
    </w:r>
    <w:r>
      <w:rPr>
        <w:rFonts w:ascii="Arial" w:cs="Arial" w:eastAsia="Arial" w:hAnsi="Arial"/>
        <w:b/>
        <w:bCs/>
        <w:color w:val="C8A951"/>
        <w:sz w:val="16"/>
        <w:szCs w:val="16"/>
      </w:rPr>
      <w:t xml:space="preserve">CONFIDENTIAL</w:t>
    </w:r>
    <w:r>
      <w:rPr>
        <w:rFonts w:ascii="Arial" w:cs="Arial" w:eastAsia="Arial" w:hAnsi="Arial"/>
        <w:sz w:val="16"/>
        <w:szCs w:val="16"/>
      </w:rPr>
      <w:t xml:space="preserve">	</w:t>
    </w:r>
    <w:r>
      <w:rPr>
        <w:rFonts w:ascii="Arial" w:cs="Arial" w:eastAsia="Arial" w:hAnsi="Arial"/>
        <w:color w:val="666666"/>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left w:val="none"/>
        <w:bottom w:val="none"/>
        <w:right w:val="none"/>
        <w:insideH w:val="single" w:color="auto" w:sz="4"/>
        <w:insideV w:val="single" w:color="auto" w:sz="4"/>
      </w:tblBorders>
    </w:tblPr>
    <w:tblGrid>
      <w:gridCol w:w="5200"/>
      <w:gridCol w:w="4546"/>
    </w:tblGrid>
    <w:tr>
      <w:tc>
        <w:tcPr>
          <w:tcW w:type="dxa" w:w="520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22"/>
              <w:szCs w:val="22"/>
            </w:rPr>
            <w:t xml:space="preserve">RESOLUTE</w:t>
          </w:r>
          <w:r>
            <w:rPr>
              <w:rFonts w:ascii="Arial" w:cs="Arial" w:eastAsia="Arial" w:hAnsi="Arial"/>
              <w:sz w:val="22"/>
              <w:szCs w:val="22"/>
            </w:rPr>
            <w:t xml:space="preserve">  </w:t>
          </w:r>
          <w:r>
            <w:rPr>
              <w:rFonts w:ascii="Arial" w:cs="Arial" w:eastAsia="Arial" w:hAnsi="Arial"/>
              <w:color w:val="C8A951"/>
              <w:sz w:val="18"/>
              <w:szCs w:val="18"/>
            </w:rPr>
            <w:t xml:space="preserve">COMPLIANCE ADVISORY  LLP</w:t>
          </w:r>
        </w:p>
        <w:p>
          <w:r>
            <w:rPr>
              <w:rFonts w:ascii="Arial" w:cs="Arial" w:eastAsia="Arial" w:hAnsi="Arial"/>
              <w:i/>
              <w:iCs/>
              <w:color w:val="666666"/>
              <w:sz w:val="16"/>
              <w:szCs w:val="16"/>
            </w:rPr>
            <w:t xml:space="preserve">Governance · Risk · Compliance</w:t>
          </w:r>
        </w:p>
      </w:tc>
      <w:tc>
        <w:tcPr>
          <w:tcW w:type="dxa" w:w="4546"/>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C8A951"/>
              <w:sz w:val="16"/>
              <w:szCs w:val="16"/>
            </w:rPr>
            <w:t xml:space="preserve">CONFIDENTIAL</w:t>
          </w:r>
        </w:p>
      </w:tc>
    </w:tr>
  </w:tbl>
  <w:p>
    <w:pPr>
      <w:pBdr>
        <w:bottom w:val="single" w:color="C8A951" w:sz="6" w:space="1"/>
      </w:pBdr>
      <w:spacing w:after="0" w:before="0"/>
    </w:pPr>
    <w:r>
      <w:t xml:space="preserve"/>
    </w:r>
  </w:p>
  <w:p>
    <w:pP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951" w:sz="4" w:space="4"/>
      </w:pBdr>
      <w:spacing w:after="160" w:before="32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2026-06-23T18:24:27.254Z</dcterms:created>
  <dcterms:modified xsi:type="dcterms:W3CDTF">2026-06-23T18:24:27.254Z</dcterms:modified>
</cp:coreProperties>
</file>

<file path=docProps/custom.xml><?xml version="1.0" encoding="utf-8"?>
<Properties xmlns="http://schemas.openxmlformats.org/officeDocument/2006/custom-properties" xmlns:vt="http://schemas.openxmlformats.org/officeDocument/2006/docPropsVTypes"/>
</file>