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top"/>
          </w:tcPr>
          <w:p>
            <w:pPr>
              <w:spacing w:after="20" w:before="80"/>
              <w:jc w:val="left"/>
            </w:pPr>
            <w:r>
              <w:rPr>
                <w:rFonts w:ascii="Arial" w:cs="Arial" w:eastAsia="Arial" w:hAnsi="Arial"/>
                <w:b/>
                <w:bCs/>
                <w:i w:val="false"/>
                <w:iCs w:val="false"/>
                <w:color w:val="FFFFFF"/>
                <w:sz w:val="32"/>
                <w:szCs w:val="32"/>
              </w:rPr>
              <w:t xml:space="preserve">RESOLUTE</w:t>
            </w:r>
            <w:r>
              <w:rPr>
                <w:rFonts w:ascii="Arial" w:cs="Arial" w:eastAsia="Arial" w:hAnsi="Arial"/>
                <w:b w:val="false"/>
                <w:bCs w:val="false"/>
                <w:i w:val="false"/>
                <w:iCs w:val="false"/>
                <w:color w:val="C8A951"/>
                <w:sz w:val="20"/>
                <w:szCs w:val="20"/>
              </w:rPr>
              <w:t xml:space="preserve">  COMPLIANCE ADVISORY  LLP</w:t>
            </w:r>
          </w:p>
          <w:p>
            <w:pPr>
              <w:spacing w:after="80" w:before="0"/>
              <w:jc w:val="left"/>
            </w:pPr>
            <w:r>
              <w:rPr>
                <w:rFonts w:ascii="Arial" w:cs="Arial" w:eastAsia="Arial" w:hAnsi="Arial"/>
                <w:b w:val="false"/>
                <w:bCs w:val="false"/>
                <w:i/>
                <w:iCs/>
                <w:color w:val="EEF1F7"/>
                <w:sz w:val="16"/>
                <w:szCs w:val="16"/>
              </w:rPr>
              <w:t xml:space="preserve">Governance  ·  Risk  ·  Compliance</w:t>
            </w:r>
          </w:p>
        </w:tc>
      </w:tr>
    </w:tbl>
    <w:p>
      <w:pPr>
        <w:spacing w:after="60" w:before="60"/>
      </w:pPr>
      <w:r>
        <w:rPr>
          <w:rFonts w:ascii="Arial" w:cs="Arial" w:eastAsia="Arial" w:hAnsi="Arial"/>
          <w:b w:val="false"/>
          <w:bCs w:val="false"/>
          <w:i w:val="false"/>
          <w:iCs w:val="false"/>
          <w:color w:val="1A1A1A"/>
          <w:sz w:val="20"/>
          <w:szCs w:val="20"/>
        </w:rPr>
        <w:t xml:space="preserve"/>
      </w:r>
    </w:p>
    <w:p>
      <w:pPr>
        <w:spacing w:after="10" w:before="60"/>
        <w:jc w:val="center"/>
      </w:pPr>
      <w:r>
        <w:rPr>
          <w:rFonts w:ascii="Arial" w:cs="Arial" w:eastAsia="Arial" w:hAnsi="Arial"/>
          <w:b/>
          <w:bCs/>
          <w:i w:val="false"/>
          <w:iCs w:val="false"/>
          <w:color w:val="1B2A4A"/>
          <w:sz w:val="36"/>
          <w:szCs w:val="36"/>
        </w:rPr>
        <w:t xml:space="preserve">EXECUTIVE SUMMARY</w:t>
      </w:r>
    </w:p>
    <w:p>
      <w:pPr>
        <w:spacing w:after="10" w:before="0"/>
        <w:jc w:val="center"/>
      </w:pPr>
      <w:r>
        <w:rPr>
          <w:rFonts w:ascii="Arial" w:cs="Arial" w:eastAsia="Arial" w:hAnsi="Arial"/>
          <w:b/>
          <w:bCs/>
          <w:i w:val="false"/>
          <w:iCs w:val="false"/>
          <w:color w:val="C8A951"/>
          <w:sz w:val="22"/>
          <w:szCs w:val="22"/>
        </w:rPr>
        <w:t xml:space="preserve">ISO 27001:2022  ·  UK GDPR  ·  DPDP Act 2023</w:t>
      </w:r>
    </w:p>
    <w:p>
      <w:pPr>
        <w:spacing w:after="80" w:before="0"/>
        <w:jc w:val="center"/>
      </w:pPr>
      <w:r>
        <w:rPr>
          <w:rFonts w:ascii="Arial" w:cs="Arial" w:eastAsia="Arial" w:hAnsi="Arial"/>
          <w:b w:val="false"/>
          <w:bCs w:val="false"/>
          <w:i/>
          <w:iCs/>
          <w:color w:val="666666"/>
          <w:sz w:val="19"/>
          <w:szCs w:val="19"/>
        </w:rPr>
        <w:t xml:space="preserve">Compliance Assessment Engagement — Management Report</w:t>
      </w:r>
    </w:p>
    <w:p>
      <w:pPr>
        <w:pBdr>
          <w:bottom w:val="single" w:color="C8A951" w:sz="6" w:space="1"/>
        </w:pBdr>
        <w:spacing w:after="40" w:before="40"/>
      </w:pPr>
      <w:r>
        <w:rPr>
          <w:rFonts w:ascii="Arial" w:cs="Arial" w:eastAsia="Arial" w:hAnsi="Arial"/>
          <w:b w:val="false"/>
          <w:bCs w:val="false"/>
          <w:i w:val="false"/>
          <w:iCs w:val="false"/>
          <w:color w:val="1A1A1A"/>
          <w:sz w:val="20"/>
          <w:szCs w:val="20"/>
        </w:rPr>
        <w:t xml:space="preserve"/>
      </w:r>
    </w:p>
    <w:p>
      <w:pPr>
        <w:spacing w:after="60" w:before="6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8A951" w:sz="6"/>
              <w:left w:val="single" w:color="C8A951" w:sz="6"/>
              <w:bottom w:val="single" w:color="C8A951" w:sz="6"/>
              <w:right w:val="single" w:color="C8A951" w:sz="6"/>
            </w:tcBorders>
            <w:shd w:fill="EEF1F7" w:val="clear"/>
            <w:tcMar>
              <w:top w:type="dxa" w:w="80"/>
              <w:left w:type="dxa" w:w="120"/>
              <w:bottom w:type="dxa" w:w="80"/>
              <w:right w:type="dxa" w:w="120"/>
            </w:tcMar>
            <w:vAlign w:val="top"/>
          </w:tcPr>
          <w:p>
            <w:pPr>
              <w:spacing w:after="20" w:before="80"/>
              <w:jc w:val="left"/>
            </w:pPr>
            <w:r>
              <w:rPr>
                <w:rFonts w:ascii="Arial" w:cs="Arial" w:eastAsia="Arial" w:hAnsi="Arial"/>
                <w:b w:val="false"/>
                <w:bCs w:val="false"/>
                <w:i/>
                <w:iCs/>
                <w:color w:val="666666"/>
                <w:sz w:val="16"/>
                <w:szCs w:val="16"/>
              </w:rPr>
              <w:t xml:space="preserve">Prepared for</w:t>
            </w:r>
          </w:p>
          <w:p>
            <w:pPr>
              <w:spacing w:after="10" w:before="0"/>
              <w:jc w:val="left"/>
            </w:pPr>
            <w:r>
              <w:rPr>
                <w:rFonts w:ascii="Arial" w:cs="Arial" w:eastAsia="Arial" w:hAnsi="Arial"/>
                <w:b/>
                <w:bCs/>
                <w:i w:val="false"/>
                <w:iCs w:val="false"/>
                <w:color w:val="1B2A4A"/>
                <w:sz w:val="26"/>
                <w:szCs w:val="26"/>
              </w:rPr>
              <w:t xml:space="preserve">Medlink India Pvt. Ltd.</w:t>
            </w:r>
          </w:p>
          <w:p>
            <w:pPr>
              <w:spacing w:after="10" w:before="0"/>
              <w:jc w:val="left"/>
            </w:pPr>
            <w:r>
              <w:rPr>
                <w:rFonts w:ascii="Arial" w:cs="Arial" w:eastAsia="Arial" w:hAnsi="Arial"/>
                <w:b w:val="false"/>
                <w:bCs w:val="false"/>
                <w:i w:val="false"/>
                <w:iCs w:val="false"/>
                <w:color w:val="666666"/>
                <w:sz w:val="18"/>
                <w:szCs w:val="18"/>
              </w:rPr>
              <w:t xml:space="preserve">Healthtech  ·  Mumbai, India</w:t>
            </w:r>
          </w:p>
          <w:p>
            <w:pPr>
              <w:spacing w:after="80" w:before="0"/>
              <w:jc w:val="left"/>
            </w:pPr>
            <w:r>
              <w:rPr>
                <w:rFonts w:ascii="Arial" w:cs="Arial" w:eastAsia="Arial" w:hAnsi="Arial"/>
                <w:b w:val="false"/>
                <w:bCs w:val="false"/>
                <w:i w:val="false"/>
                <w:iCs w:val="false"/>
                <w:color w:val="666666"/>
                <w:sz w:val="18"/>
                <w:szCs w:val="18"/>
              </w:rPr>
              <w:t xml:space="preserve">Engagement Period: 10 March 2024 – 30 June 2024</w:t>
            </w:r>
          </w:p>
        </w:tc>
      </w:tr>
    </w:tbl>
    <w:p>
      <w:pPr>
        <w:spacing w:after="80" w:before="8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60"/>
              <w:jc w:val="left"/>
            </w:pPr>
            <w:r>
              <w:rPr>
                <w:rFonts w:ascii="Arial" w:cs="Arial" w:eastAsia="Arial" w:hAnsi="Arial"/>
                <w:b w:val="false"/>
                <w:bCs w:val="false"/>
                <w:i/>
                <w:iCs/>
                <w:color w:val="666666"/>
                <w:sz w:val="14"/>
                <w:szCs w:val="14"/>
              </w:rPr>
              <w:t xml:space="preserve">Prepared by</w:t>
            </w:r>
          </w:p>
          <w:p>
            <w:pPr>
              <w:spacing w:after="10" w:before="0"/>
              <w:jc w:val="left"/>
            </w:pPr>
            <w:r>
              <w:rPr>
                <w:rFonts w:ascii="Arial" w:cs="Arial" w:eastAsia="Arial" w:hAnsi="Arial"/>
                <w:b/>
                <w:bCs/>
                <w:i w:val="false"/>
                <w:iCs w:val="false"/>
                <w:color w:val="1B2A4A"/>
                <w:sz w:val="18"/>
                <w:szCs w:val="18"/>
              </w:rPr>
              <w:t xml:space="preserve">kay Shahbaaz</w:t>
            </w:r>
          </w:p>
          <w:p>
            <w:pPr>
              <w:spacing w:after="10" w:before="0"/>
              <w:jc w:val="left"/>
            </w:pPr>
            <w:r>
              <w:rPr>
                <w:rFonts w:ascii="Arial" w:cs="Arial" w:eastAsia="Arial" w:hAnsi="Arial"/>
                <w:b w:val="false"/>
                <w:bCs w:val="false"/>
                <w:i w:val="false"/>
                <w:iCs w:val="false"/>
                <w:color w:val="666666"/>
                <w:sz w:val="16"/>
                <w:szCs w:val="16"/>
              </w:rPr>
              <w:t xml:space="preserve">GRC Analyst</w:t>
            </w:r>
          </w:p>
          <w:p>
            <w:pPr>
              <w:spacing w:after="60" w:before="0"/>
              <w:jc w:val="left"/>
            </w:pPr>
            <w:r>
              <w:rPr>
                <w:rFonts w:ascii="Arial" w:cs="Arial" w:eastAsia="Arial" w:hAnsi="Arial"/>
                <w:b w:val="false"/>
                <w:bCs w:val="false"/>
                <w:i w:val="false"/>
                <w:iCs w:val="false"/>
                <w:color w:val="666666"/>
                <w:sz w:val="16"/>
                <w:szCs w:val="16"/>
              </w:rPr>
              <w:t xml:space="preserve">Resolute Compliance Advisory LLP</w:t>
            </w:r>
          </w:p>
        </w:tc>
        <w:tc>
          <w:tcPr>
            <w:tcW w:type="dxa" w:w="487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60"/>
              <w:jc w:val="left"/>
            </w:pPr>
            <w:r>
              <w:rPr>
                <w:rFonts w:ascii="Arial" w:cs="Arial" w:eastAsia="Arial" w:hAnsi="Arial"/>
                <w:b w:val="false"/>
                <w:bCs w:val="false"/>
                <w:i/>
                <w:iCs/>
                <w:color w:val="666666"/>
                <w:sz w:val="14"/>
                <w:szCs w:val="14"/>
              </w:rPr>
              <w:t xml:space="preserve">Document Ref</w:t>
            </w:r>
          </w:p>
          <w:p>
            <w:pPr>
              <w:spacing w:after="10" w:before="0"/>
              <w:jc w:val="left"/>
            </w:pPr>
            <w:r>
              <w:rPr>
                <w:rFonts w:ascii="Arial" w:cs="Arial" w:eastAsia="Arial" w:hAnsi="Arial"/>
                <w:b/>
                <w:bCs/>
                <w:i w:val="false"/>
                <w:iCs w:val="false"/>
                <w:color w:val="1B2A4A"/>
                <w:sz w:val="18"/>
                <w:szCs w:val="18"/>
              </w:rPr>
              <w:t xml:space="preserve">RCA-P2-008</w:t>
            </w:r>
          </w:p>
          <w:p>
            <w:pPr>
              <w:spacing w:after="10" w:before="0"/>
              <w:jc w:val="left"/>
            </w:pPr>
            <w:r>
              <w:rPr>
                <w:rFonts w:ascii="Arial" w:cs="Arial" w:eastAsia="Arial" w:hAnsi="Arial"/>
                <w:b w:val="false"/>
                <w:bCs w:val="false"/>
                <w:i w:val="false"/>
                <w:iCs w:val="false"/>
                <w:color w:val="666666"/>
                <w:sz w:val="16"/>
                <w:szCs w:val="16"/>
              </w:rPr>
              <w:t xml:space="preserve">30 June 2024  ·  v1.0</w:t>
            </w:r>
          </w:p>
          <w:p>
            <w:pPr>
              <w:spacing w:after="60" w:before="0"/>
              <w:jc w:val="left"/>
            </w:pPr>
            <w:r>
              <w:rPr>
                <w:rFonts w:ascii="Arial" w:cs="Arial" w:eastAsia="Arial" w:hAnsi="Arial"/>
                <w:b/>
                <w:bCs/>
                <w:i w:val="false"/>
                <w:iCs w:val="false"/>
                <w:color w:val="C0392B"/>
                <w:sz w:val="16"/>
                <w:szCs w:val="16"/>
              </w:rPr>
              <w:t xml:space="preserve">CONFIDENTIAL</w:t>
            </w:r>
          </w:p>
        </w:tc>
      </w:tr>
    </w:tbl>
    <w:p>
      <w:pPr>
        <w:spacing w:after="80" w:before="8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8"/>
              <w:left w:val="single" w:color="1B2A4A" w:sz="8"/>
              <w:bottom w:val="single" w:color="1B2A4A" w:sz="8"/>
              <w:right w:val="single" w:color="1B2A4A" w:sz="8"/>
            </w:tcBorders>
            <w:shd w:fill="EEF1F7" w:val="clear"/>
            <w:tcMar>
              <w:top w:type="dxa" w:w="80"/>
              <w:left w:type="dxa" w:w="120"/>
              <w:bottom w:type="dxa" w:w="80"/>
              <w:right w:type="dxa" w:w="120"/>
            </w:tcMar>
            <w:vAlign w:val="top"/>
          </w:tcPr>
          <w:p>
            <w:pPr>
              <w:spacing w:after="20" w:before="60"/>
              <w:jc w:val="center"/>
            </w:pPr>
            <w:r>
              <w:rPr>
                <w:rFonts w:ascii="Arial" w:cs="Arial" w:eastAsia="Arial" w:hAnsi="Arial"/>
                <w:b/>
                <w:bCs/>
                <w:i w:val="false"/>
                <w:iCs w:val="false"/>
                <w:color w:val="1B2A4A"/>
                <w:sz w:val="17"/>
                <w:szCs w:val="17"/>
              </w:rPr>
              <w:t xml:space="preserve">CONFIDENTIALITY NOTICE</w:t>
            </w:r>
          </w:p>
          <w:p>
            <w:pPr>
              <w:spacing w:after="60" w:before="0"/>
              <w:jc w:val="left"/>
            </w:pPr>
            <w:r>
              <w:rPr>
                <w:rFonts w:ascii="Arial" w:cs="Arial" w:eastAsia="Arial" w:hAnsi="Arial"/>
                <w:b w:val="false"/>
                <w:bCs w:val="false"/>
                <w:i/>
                <w:iCs/>
                <w:color w:val="666666"/>
                <w:sz w:val="17"/>
                <w:szCs w:val="17"/>
              </w:rPr>
              <w:t xml:space="preserve">This document is prepared exclusively for the Board and Senior Management of Medlink India Pvt. Ltd. It contains confidential and proprietary information belonging to Resolute Compliance Advisory LLP. It may not be disclosed, reproduced, or distributed without prior written consent.</w:t>
            </w:r>
          </w:p>
        </w:tc>
      </w:tr>
    </w:tbl>
    <w:p>
      <w:pPr>
        <w:sectPr>
          <w:pgSz w:w="11906" w:h="16838" w:orient="portrait"/>
          <w:pgMar w:top="1080" w:right="1080" w:bottom="1080" w:left="1080" w:header="708" w:footer="708" w:gutter="0"/>
          <w:pgNumType/>
          <w:docGrid w:linePitch="360"/>
        </w:sectPr>
      </w:pPr>
    </w:p>
    <w:p>
      <w:pPr>
        <w:pStyle w:val="Heading1"/>
        <w:spacing w:after="100" w:before="260"/>
      </w:pPr>
      <w:r>
        <w:rPr>
          <w:rFonts w:ascii="Arial" w:cs="Arial" w:eastAsia="Arial" w:hAnsi="Arial"/>
          <w:b/>
          <w:bCs/>
          <w:i w:val="false"/>
          <w:iCs w:val="false"/>
          <w:color w:val="1B2A4A"/>
          <w:sz w:val="26"/>
          <w:szCs w:val="26"/>
        </w:rPr>
        <w:t xml:space="preserve">1.  Engagement Overview</w:t>
      </w:r>
    </w:p>
    <w:p>
      <w:pPr>
        <w:spacing w:after="60" w:before="80"/>
        <w:jc w:val="left"/>
      </w:pPr>
      <w:r>
        <w:rPr>
          <w:rFonts w:ascii="Arial" w:cs="Arial" w:eastAsia="Arial" w:hAnsi="Arial"/>
          <w:b w:val="false"/>
          <w:bCs w:val="false"/>
          <w:i w:val="false"/>
          <w:iCs w:val="false"/>
          <w:color w:val="1A1A1A"/>
          <w:sz w:val="20"/>
          <w:szCs w:val="20"/>
        </w:rPr>
        <w:t xml:space="preserve">Resolute Compliance Advisory LLP was engaged by Medlink India Pvt. Ltd. in March 2024 to conduct a comprehensive compliance assessment across three frameworks: ISO 27001:2022 (information security), the UK General Data Protection Regulation (UK GDPR), and the Digital Personal Data Protection Act 2023 (DPDP Act). This Executive Summary presents the key findings, risk posture, and recommended programme of work in a format intended for Board and Senior Management review and decision-making.</w:t>
      </w:r>
    </w:p>
    <w:p>
      <w:pPr>
        <w:spacing w:after="80" w:before="60"/>
        <w:jc w:val="left"/>
      </w:pPr>
      <w:r>
        <w:rPr>
          <w:rFonts w:ascii="Arial" w:cs="Arial" w:eastAsia="Arial" w:hAnsi="Arial"/>
          <w:b w:val="false"/>
          <w:bCs w:val="false"/>
          <w:i w:val="false"/>
          <w:iCs w:val="false"/>
          <w:color w:val="1A1A1A"/>
          <w:sz w:val="20"/>
          <w:szCs w:val="20"/>
        </w:rPr>
        <w:t xml:space="preserve">Medlink processes sensitive personal health information for approximately 120 hospital and clinic clients across India, the United Kingdom, and the UAE. This dual-jurisdiction data processing profile activates two distinct privacy regimes — UK GDPR and DPDP Act 2023 — simultaneously, creating a compliance architecture of above-average complexity for a company of Medlink's current size and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18"/>
        <w:gridCol w:w="6628"/>
      </w:tblGrid>
      <w:tr>
        <w:tc>
          <w:tcPr>
            <w:tcW w:type="dxa" w:w="3118"/>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Field</w:t>
            </w:r>
          </w:p>
        </w:tc>
        <w:tc>
          <w:tcPr>
            <w:tcW w:type="dxa" w:w="6628"/>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Details</w:t>
            </w:r>
          </w:p>
        </w:tc>
      </w:tr>
      <w:tr>
        <w:tc>
          <w:tcPr>
            <w:tcW w:type="dxa" w:w="31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Client</w:t>
            </w:r>
          </w:p>
        </w:tc>
        <w:tc>
          <w:tcPr>
            <w:tcW w:type="dxa" w:w="66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Medlink India Pvt. Ltd.</w:t>
            </w:r>
          </w:p>
        </w:tc>
      </w:tr>
      <w:tr>
        <w:tc>
          <w:tcPr>
            <w:tcW w:type="dxa" w:w="311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Industry</w:t>
            </w:r>
          </w:p>
        </w:tc>
        <w:tc>
          <w:tcPr>
            <w:tcW w:type="dxa" w:w="66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Healthtech — Electronic Medical Records (EMR) SaaS Platform</w:t>
            </w:r>
          </w:p>
        </w:tc>
      </w:tr>
      <w:tr>
        <w:tc>
          <w:tcPr>
            <w:tcW w:type="dxa" w:w="31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Engagement Period</w:t>
            </w:r>
          </w:p>
        </w:tc>
        <w:tc>
          <w:tcPr>
            <w:tcW w:type="dxa" w:w="66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10 March 2024 – 30 June 2024</w:t>
            </w:r>
          </w:p>
        </w:tc>
      </w:tr>
      <w:tr>
        <w:tc>
          <w:tcPr>
            <w:tcW w:type="dxa" w:w="311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Assessment Scope</w:t>
            </w:r>
          </w:p>
        </w:tc>
        <w:tc>
          <w:tcPr>
            <w:tcW w:type="dxa" w:w="66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ISO 27001:2022 Gap Assessment (all 93 Annex A controls) + UK GDPR Compliance Review + DPDP Act 2023 Compliance Review</w:t>
            </w:r>
          </w:p>
        </w:tc>
      </w:tr>
      <w:tr>
        <w:tc>
          <w:tcPr>
            <w:tcW w:type="dxa" w:w="31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Engagement Type</w:t>
            </w:r>
          </w:p>
        </w:tc>
        <w:tc>
          <w:tcPr>
            <w:tcW w:type="dxa" w:w="66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Gap Assessment and Privacy Compliance Review (not a certification audit)</w:t>
            </w:r>
          </w:p>
        </w:tc>
      </w:tr>
      <w:tr>
        <w:tc>
          <w:tcPr>
            <w:tcW w:type="dxa" w:w="311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Prepared by</w:t>
            </w:r>
          </w:p>
        </w:tc>
        <w:tc>
          <w:tcPr>
            <w:tcW w:type="dxa" w:w="66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kay Shahbaaz, GRC Analyst — Resolute Compliance Advisory LLP</w:t>
            </w:r>
          </w:p>
        </w:tc>
      </w:tr>
      <w:tr>
        <w:tc>
          <w:tcPr>
            <w:tcW w:type="dxa" w:w="31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Deliverables</w:t>
            </w:r>
          </w:p>
        </w:tc>
        <w:tc>
          <w:tcPr>
            <w:tcW w:type="dxa" w:w="66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RCA-P2-001 through RCA-P2-008 (8 documents)</w:t>
            </w:r>
          </w:p>
        </w:tc>
      </w:tr>
      <w:tr>
        <w:tc>
          <w:tcPr>
            <w:tcW w:type="dxa" w:w="311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Report Date</w:t>
            </w:r>
          </w:p>
        </w:tc>
        <w:tc>
          <w:tcPr>
            <w:tcW w:type="dxa" w:w="66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30 June 2024</w:t>
            </w:r>
          </w:p>
        </w:tc>
      </w:tr>
    </w:tbl>
    <w:p>
      <w:pPr>
        <w:pStyle w:val="Heading1"/>
        <w:pageBreakBefore/>
        <w:spacing w:after="100" w:before="260"/>
      </w:pPr>
      <w:r>
        <w:rPr>
          <w:rFonts w:ascii="Arial" w:cs="Arial" w:eastAsia="Arial" w:hAnsi="Arial"/>
          <w:b/>
          <w:bCs/>
          <w:i w:val="false"/>
          <w:iCs w:val="false"/>
          <w:color w:val="1B2A4A"/>
          <w:sz w:val="26"/>
          <w:szCs w:val="26"/>
        </w:rPr>
        <w:t xml:space="preserve">2.  Overall Compliance Posture</w:t>
      </w:r>
    </w:p>
    <w:p>
      <w:pPr>
        <w:spacing w:after="60" w:before="80"/>
        <w:jc w:val="left"/>
      </w:pPr>
      <w:r>
        <w:rPr>
          <w:rFonts w:ascii="Arial" w:cs="Arial" w:eastAsia="Arial" w:hAnsi="Arial"/>
          <w:b w:val="false"/>
          <w:bCs w:val="false"/>
          <w:i w:val="false"/>
          <w:iCs w:val="false"/>
          <w:color w:val="1A1A1A"/>
          <w:sz w:val="20"/>
          <w:szCs w:val="20"/>
        </w:rPr>
        <w:t xml:space="preserve">The assessment found Medlink to be a compliance-aware but not yet compliance-mature organisation. A meaningful security baseline is in place — multi-factor authentication is enforced enterprise-wide, AWS infrastructure is monitored via CloudTrail and WAF, and a third-party vulnerability assessment was conducted in January 2024. These controls contribute to a 49.5% conformance rate against ISO 27001:2022, which is a reasonable starting point for a company at Medlink's stage.</w:t>
      </w:r>
    </w:p>
    <w:p>
      <w:pPr>
        <w:spacing w:after="80" w:before="60"/>
        <w:jc w:val="left"/>
      </w:pPr>
      <w:r>
        <w:rPr>
          <w:rFonts w:ascii="Arial" w:cs="Arial" w:eastAsia="Arial" w:hAnsi="Arial"/>
          <w:b w:val="false"/>
          <w:bCs w:val="false"/>
          <w:i w:val="false"/>
          <w:iCs w:val="false"/>
          <w:color w:val="1A1A1A"/>
          <w:sz w:val="20"/>
          <w:szCs w:val="20"/>
        </w:rPr>
        <w:t xml:space="preserve">However, the gaps that remain are not minor procedural deficiencies — they are concentrated in the areas of highest consequence for a healthtech company processing patient health data across two jurisdictions. The company is currently non-compliant with both the UK GDPR and the DPDP Act 2023, and two live security risks were identified during the assessment that require action within 48 hours of receipt of this report.</w:t>
      </w:r>
    </w:p>
    <w:p>
      <w:pPr>
        <w:pStyle w:val="Heading2"/>
        <w:spacing w:after="80" w:before="180"/>
      </w:pPr>
      <w:r>
        <w:rPr>
          <w:rFonts w:ascii="Arial" w:cs="Arial" w:eastAsia="Arial" w:hAnsi="Arial"/>
          <w:b/>
          <w:bCs/>
          <w:i w:val="false"/>
          <w:iCs w:val="false"/>
          <w:color w:val="1B2A4A"/>
          <w:sz w:val="22"/>
          <w:szCs w:val="22"/>
        </w:rPr>
        <w:t xml:space="preserve">2.1  Compliance Scorecard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c>
          <w:tcPr>
            <w:tcW w:type="dxa" w:w="3248"/>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ISO 27001:2022</w:t>
            </w:r>
          </w:p>
        </w:tc>
        <w:tc>
          <w:tcPr>
            <w:tcW w:type="dxa" w:w="3248"/>
            <w:tcBorders>
              <w:top w:val="single" w:color="117A65" w:sz="4"/>
              <w:left w:val="single" w:color="117A65" w:sz="4"/>
              <w:bottom w:val="single" w:color="117A65" w:sz="4"/>
              <w:right w:val="single" w:color="117A65" w:sz="4"/>
            </w:tcBorders>
            <w:shd w:fill="117A65"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UK GDPR</w:t>
            </w:r>
          </w:p>
        </w:tc>
        <w:tc>
          <w:tcPr>
            <w:tcW w:type="dxa" w:w="3250"/>
            <w:tcBorders>
              <w:top w:val="single" w:color="6C3483" w:sz="4"/>
              <w:left w:val="single" w:color="6C3483" w:sz="4"/>
              <w:bottom w:val="single" w:color="6C3483" w:sz="4"/>
              <w:right w:val="single" w:color="6C3483" w:sz="4"/>
            </w:tcBorders>
            <w:shd w:fill="6C3483"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DPDP Act 2023</w:t>
            </w:r>
          </w:p>
        </w:tc>
      </w:tr>
      <w:tr>
        <w:tc>
          <w:tcPr>
            <w:tcW w:type="dxa" w:w="324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center"/>
          </w:tcPr>
          <w:p>
            <w:pPr>
              <w:spacing w:after="20" w:before="60"/>
              <w:jc w:val="center"/>
            </w:pPr>
            <w:r>
              <w:rPr>
                <w:rFonts w:ascii="Arial" w:cs="Arial" w:eastAsia="Arial" w:hAnsi="Arial"/>
                <w:b/>
                <w:bCs/>
                <w:i w:val="false"/>
                <w:iCs w:val="false"/>
                <w:color w:val="1B2A4A"/>
                <w:sz w:val="34"/>
                <w:szCs w:val="34"/>
              </w:rPr>
              <w:t xml:space="preserve">49.5%</w:t>
            </w:r>
          </w:p>
          <w:p>
            <w:pPr>
              <w:spacing w:after="10" w:before="0"/>
              <w:jc w:val="center"/>
            </w:pPr>
            <w:r>
              <w:rPr>
                <w:rFonts w:ascii="Arial" w:cs="Arial" w:eastAsia="Arial" w:hAnsi="Arial"/>
                <w:b w:val="false"/>
                <w:bCs w:val="false"/>
                <w:i w:val="false"/>
                <w:iCs w:val="false"/>
                <w:color w:val="666666"/>
                <w:sz w:val="18"/>
                <w:szCs w:val="18"/>
              </w:rPr>
              <w:t xml:space="preserve">Overall Conformance</w:t>
            </w:r>
          </w:p>
          <w:p>
            <w:pPr>
              <w:spacing w:after="60" w:before="0"/>
              <w:jc w:val="center"/>
            </w:pPr>
            <w:r>
              <w:rPr>
                <w:rFonts w:ascii="Arial" w:cs="Arial" w:eastAsia="Arial" w:hAnsi="Arial"/>
                <w:b w:val="false"/>
                <w:bCs w:val="false"/>
                <w:i w:val="false"/>
                <w:iCs w:val="false"/>
                <w:color w:val="1A1A1A"/>
                <w:sz w:val="18"/>
                <w:szCs w:val="18"/>
              </w:rPr>
              <w:t xml:space="preserve">46 Conformant  /  34 Partial  /  13 Non-Conformant</w:t>
            </w:r>
          </w:p>
        </w:tc>
        <w:tc>
          <w:tcPr>
            <w:tcW w:type="dxa" w:w="3248"/>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spacing w:after="20" w:before="60"/>
              <w:jc w:val="center"/>
            </w:pPr>
            <w:r>
              <w:rPr>
                <w:rFonts w:ascii="Arial" w:cs="Arial" w:eastAsia="Arial" w:hAnsi="Arial"/>
                <w:b/>
                <w:bCs/>
                <w:i w:val="false"/>
                <w:iCs w:val="false"/>
                <w:color w:val="922B21"/>
                <w:sz w:val="22"/>
                <w:szCs w:val="22"/>
              </w:rPr>
              <w:t xml:space="preserve">NOT COMPLIANT</w:t>
            </w:r>
          </w:p>
          <w:p>
            <w:pPr>
              <w:spacing w:after="10" w:before="0"/>
              <w:jc w:val="center"/>
            </w:pPr>
            <w:r>
              <w:rPr>
                <w:rFonts w:ascii="Arial" w:cs="Arial" w:eastAsia="Arial" w:hAnsi="Arial"/>
                <w:b w:val="false"/>
                <w:bCs w:val="false"/>
                <w:i w:val="false"/>
                <w:iCs w:val="false"/>
                <w:color w:val="666666"/>
                <w:sz w:val="18"/>
                <w:szCs w:val="18"/>
              </w:rPr>
              <w:t xml:space="preserve">5 Findings</w:t>
            </w:r>
          </w:p>
          <w:p>
            <w:pPr>
              <w:spacing w:after="60" w:before="0"/>
              <w:jc w:val="center"/>
            </w:pPr>
            <w:r>
              <w:rPr>
                <w:rFonts w:ascii="Arial" w:cs="Arial" w:eastAsia="Arial" w:hAnsi="Arial"/>
                <w:b w:val="false"/>
                <w:bCs w:val="false"/>
                <w:i w:val="false"/>
                <w:iCs w:val="false"/>
                <w:color w:val="1A1A1A"/>
                <w:sz w:val="18"/>
                <w:szCs w:val="18"/>
              </w:rPr>
              <w:t xml:space="preserve">2 Critical  ·  2 High  ·  1 Medium</w:t>
            </w:r>
          </w:p>
        </w:tc>
        <w:tc>
          <w:tcPr>
            <w:tcW w:type="dxa" w:w="325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spacing w:after="20" w:before="60"/>
              <w:jc w:val="center"/>
            </w:pPr>
            <w:r>
              <w:rPr>
                <w:rFonts w:ascii="Arial" w:cs="Arial" w:eastAsia="Arial" w:hAnsi="Arial"/>
                <w:b/>
                <w:bCs/>
                <w:i w:val="false"/>
                <w:iCs w:val="false"/>
                <w:color w:val="922B21"/>
                <w:sz w:val="22"/>
                <w:szCs w:val="22"/>
              </w:rPr>
              <w:t xml:space="preserve">NOT COMPLIANT</w:t>
            </w:r>
          </w:p>
          <w:p>
            <w:pPr>
              <w:spacing w:after="10" w:before="0"/>
              <w:jc w:val="center"/>
            </w:pPr>
            <w:r>
              <w:rPr>
                <w:rFonts w:ascii="Arial" w:cs="Arial" w:eastAsia="Arial" w:hAnsi="Arial"/>
                <w:b w:val="false"/>
                <w:bCs w:val="false"/>
                <w:i w:val="false"/>
                <w:iCs w:val="false"/>
                <w:color w:val="666666"/>
                <w:sz w:val="18"/>
                <w:szCs w:val="18"/>
              </w:rPr>
              <w:t xml:space="preserve">4 Findings</w:t>
            </w:r>
          </w:p>
          <w:p>
            <w:pPr>
              <w:spacing w:after="60" w:before="0"/>
              <w:jc w:val="center"/>
            </w:pPr>
            <w:r>
              <w:rPr>
                <w:rFonts w:ascii="Arial" w:cs="Arial" w:eastAsia="Arial" w:hAnsi="Arial"/>
                <w:b w:val="false"/>
                <w:bCs w:val="false"/>
                <w:i w:val="false"/>
                <w:iCs w:val="false"/>
                <w:color w:val="1A1A1A"/>
                <w:sz w:val="18"/>
                <w:szCs w:val="18"/>
              </w:rPr>
              <w:t xml:space="preserve">1 Critical  ·  2 High  ·  1 Medium</w:t>
            </w:r>
          </w:p>
        </w:tc>
      </w:tr>
    </w:tbl>
    <w:p>
      <w:pPr>
        <w:spacing w:after="80" w:before="80"/>
      </w:pPr>
      <w:r>
        <w:rPr>
          <w:rFonts w:ascii="Arial" w:cs="Arial" w:eastAsia="Arial" w:hAnsi="Arial"/>
          <w:b w:val="false"/>
          <w:bCs w:val="false"/>
          <w:i w:val="false"/>
          <w:iCs w:val="false"/>
          <w:color w:val="1A1A1A"/>
          <w:sz w:val="20"/>
          <w:szCs w:val="20"/>
        </w:rPr>
        <w:t xml:space="preserve"/>
      </w:r>
    </w:p>
    <w:p>
      <w:pPr>
        <w:pStyle w:val="Heading2"/>
        <w:spacing w:after="80" w:before="180"/>
      </w:pPr>
      <w:r>
        <w:rPr>
          <w:rFonts w:ascii="Arial" w:cs="Arial" w:eastAsia="Arial" w:hAnsi="Arial"/>
          <w:b/>
          <w:bCs/>
          <w:i w:val="false"/>
          <w:iCs w:val="false"/>
          <w:color w:val="1B2A4A"/>
          <w:sz w:val="22"/>
          <w:szCs w:val="22"/>
        </w:rPr>
        <w:t xml:space="preserve">2.2  Risk Profile — 31 Risks Identified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50"/>
      </w:tblGrid>
      <w:tr>
        <w:tc>
          <w:tcPr>
            <w:tcW w:type="dxa" w:w="1949"/>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9"/>
                <w:szCs w:val="19"/>
              </w:rPr>
              <w:t xml:space="preserve">Critical</w:t>
            </w:r>
          </w:p>
        </w:tc>
        <w:tc>
          <w:tcPr>
            <w:tcW w:type="dxa" w:w="1949"/>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9"/>
                <w:szCs w:val="19"/>
              </w:rPr>
              <w:t xml:space="preserve">High</w:t>
            </w:r>
          </w:p>
        </w:tc>
        <w:tc>
          <w:tcPr>
            <w:tcW w:type="dxa" w:w="1949"/>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9"/>
                <w:szCs w:val="19"/>
              </w:rPr>
              <w:t xml:space="preserve">Medium</w:t>
            </w:r>
          </w:p>
        </w:tc>
        <w:tc>
          <w:tcPr>
            <w:tcW w:type="dxa" w:w="1949"/>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9"/>
                <w:szCs w:val="19"/>
              </w:rPr>
              <w:t xml:space="preserve">Low</w:t>
            </w:r>
          </w:p>
        </w:tc>
        <w:tc>
          <w:tcPr>
            <w:tcW w:type="dxa" w:w="195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9"/>
                <w:szCs w:val="19"/>
              </w:rPr>
              <w:t xml:space="preserve">Total</w:t>
            </w:r>
          </w:p>
        </w:tc>
      </w:tr>
      <w:tr>
        <w:tc>
          <w:tcPr>
            <w:tcW w:type="dxa" w:w="1949"/>
            <w:tcBorders>
              <w:top w:val="single" w:color="CCCCCC" w:sz="4"/>
              <w:left w:val="single" w:color="CCCCCC" w:sz="4"/>
              <w:bottom w:val="single" w:color="CCCCCC" w:sz="4"/>
              <w:right w:val="single" w:color="CCCCCC" w:sz="4"/>
            </w:tcBorders>
            <w:shd w:fill="F5B7B1"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922B21"/>
                <w:sz w:val="32"/>
                <w:szCs w:val="32"/>
              </w:rPr>
              <w:t xml:space="preserve">5</w:t>
            </w:r>
          </w:p>
        </w:tc>
        <w:tc>
          <w:tcPr>
            <w:tcW w:type="dxa" w:w="1949"/>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C0392B"/>
                <w:sz w:val="32"/>
                <w:szCs w:val="32"/>
              </w:rPr>
              <w:t xml:space="preserve">11</w:t>
            </w:r>
          </w:p>
        </w:tc>
        <w:tc>
          <w:tcPr>
            <w:tcW w:type="dxa" w:w="1949"/>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D68910"/>
                <w:sz w:val="32"/>
                <w:szCs w:val="32"/>
              </w:rPr>
              <w:t xml:space="preserve">10</w:t>
            </w:r>
          </w:p>
        </w:tc>
        <w:tc>
          <w:tcPr>
            <w:tcW w:type="dxa" w:w="1949"/>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1E8449"/>
                <w:sz w:val="32"/>
                <w:szCs w:val="32"/>
              </w:rPr>
              <w:t xml:space="preserve">5</w:t>
            </w:r>
          </w:p>
        </w:tc>
        <w:tc>
          <w:tcPr>
            <w:tcW w:type="dxa" w:w="1950"/>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1B2A4A"/>
                <w:sz w:val="32"/>
                <w:szCs w:val="32"/>
              </w:rPr>
              <w:t xml:space="preserve">31</w:t>
            </w:r>
          </w:p>
        </w:tc>
      </w:tr>
    </w:tbl>
    <w:p>
      <w:pPr>
        <w:spacing w:after="60" w:before="60"/>
      </w:pPr>
      <w:r>
        <w:rPr>
          <w:rFonts w:ascii="Arial" w:cs="Arial" w:eastAsia="Arial" w:hAnsi="Arial"/>
          <w:b w:val="false"/>
          <w:bCs w:val="false"/>
          <w:i w:val="false"/>
          <w:iCs w:val="false"/>
          <w:color w:val="1A1A1A"/>
          <w:sz w:val="20"/>
          <w:szCs w:val="20"/>
        </w:rPr>
        <w:t xml:space="preserve"/>
      </w:r>
    </w:p>
    <w:p>
      <w:pPr>
        <w:spacing w:after="80" w:before="60"/>
        <w:jc w:val="left"/>
      </w:pPr>
      <w:r>
        <w:rPr>
          <w:rFonts w:ascii="Arial" w:cs="Arial" w:eastAsia="Arial" w:hAnsi="Arial"/>
          <w:b w:val="false"/>
          <w:bCs w:val="false"/>
          <w:i w:val="false"/>
          <w:iCs w:val="false"/>
          <w:color w:val="1A1A1A"/>
          <w:sz w:val="20"/>
          <w:szCs w:val="20"/>
        </w:rPr>
        <w:t xml:space="preserve">31 information security and privacy risks were identified and assessed across 11 domains. Five risks are rated Critical (score 20–25 on a 25-point scale), meaning they carry a high likelihood of occurrence and severe potential impact. Eleven risks are rated High. The Risk Register (RCA-P2-006) documents all risks with treatment actions and residual risk scores following remediation.</w:t>
      </w:r>
    </w:p>
    <w:p>
      <w:pPr>
        <w:pStyle w:val="Heading1"/>
        <w:pageBreakBefore/>
        <w:spacing w:after="100" w:before="260"/>
      </w:pPr>
      <w:r>
        <w:rPr>
          <w:rFonts w:ascii="Arial" w:cs="Arial" w:eastAsia="Arial" w:hAnsi="Arial"/>
          <w:b/>
          <w:bCs/>
          <w:i w:val="false"/>
          <w:iCs w:val="false"/>
          <w:color w:val="1B2A4A"/>
          <w:sz w:val="26"/>
          <w:szCs w:val="26"/>
        </w:rPr>
        <w:t xml:space="preserve">3.  Live Risks — Action Required Within 48 Hours</w:t>
      </w:r>
    </w:p>
    <w:p>
      <w:pPr>
        <w:spacing w:after="80" w:before="80"/>
        <w:jc w:val="left"/>
      </w:pPr>
      <w:r>
        <w:rPr>
          <w:rFonts w:ascii="Arial" w:cs="Arial" w:eastAsia="Arial" w:hAnsi="Arial"/>
          <w:b w:val="false"/>
          <w:bCs w:val="false"/>
          <w:i w:val="false"/>
          <w:iCs w:val="false"/>
          <w:color w:val="1A1A1A"/>
          <w:sz w:val="20"/>
          <w:szCs w:val="20"/>
        </w:rPr>
        <w:t xml:space="preserve">Two live security risks were identified during the assessment. These risks are active at the time of this report and require immediate escalation and remediation action, independent of the broader remediation programme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22B21" w:sz="4"/>
              <w:left w:val="single" w:color="922B21" w:sz="4"/>
              <w:bottom w:val="single" w:color="922B21" w:sz="4"/>
              <w:right w:val="single" w:color="922B21" w:sz="4"/>
            </w:tcBorders>
            <w:shd w:fill="922B21"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  LIVE RISK  </w:t>
            </w:r>
            <w:r>
              <w:rPr>
                <w:rFonts w:ascii="Arial" w:cs="Arial" w:eastAsia="Arial" w:hAnsi="Arial"/>
                <w:b/>
                <w:bCs/>
                <w:i w:val="false"/>
                <w:iCs w:val="false"/>
                <w:color w:val="C8A951"/>
                <w:sz w:val="20"/>
                <w:szCs w:val="20"/>
              </w:rPr>
              <w:t xml:space="preserve">R-004 / F-002</w:t>
            </w:r>
            <w:r>
              <w:rPr>
                <w:rFonts w:ascii="Arial" w:cs="Arial" w:eastAsia="Arial" w:hAnsi="Arial"/>
                <w:b/>
                <w:bCs/>
                <w:i w:val="false"/>
                <w:iCs w:val="false"/>
                <w:color w:val="FFFFFF"/>
                <w:sz w:val="20"/>
                <w:szCs w:val="20"/>
              </w:rPr>
              <w:t xml:space="preserve">  —  AWS Production Credentials Hardcoded in GitHub</w:t>
            </w:r>
          </w:p>
        </w:tc>
      </w:tr>
      <w:tr>
        <w:tc>
          <w:tcPr>
            <w:tcW w:type="dxa" w:w="974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An AWS IAM access key pair — providing programmatic access to Medlink's production AWS environment — was found hardcoded in a private GitHub repository during the assessment on 28 March 2024. The credentials were confirmed active at the time of discovery and were immediately disclosed to the CTO. Any developer with read access to the repository can extract and use these credentials to access production infrastructure. ACTION REQUIRED: Rotate the AWS IAM key pair immediately. Generate a new key pair, update all dependent services, and deactivate and delete the old key. Review AWS CloudTrail logs for the past 90 days for evidence of any unauthorised usage. Risk score: Likelihood 4 × Impact 5 = 20 (Critical).</w:t>
            </w:r>
          </w:p>
        </w:tc>
      </w:tr>
    </w:tbl>
    <w:p>
      <w:pPr>
        <w:spacing w:after="60" w:before="6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22B21" w:sz="4"/>
              <w:left w:val="single" w:color="922B21" w:sz="4"/>
              <w:bottom w:val="single" w:color="922B21" w:sz="4"/>
              <w:right w:val="single" w:color="922B21" w:sz="4"/>
            </w:tcBorders>
            <w:shd w:fill="922B21"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  LIVE RISK  </w:t>
            </w:r>
            <w:r>
              <w:rPr>
                <w:rFonts w:ascii="Arial" w:cs="Arial" w:eastAsia="Arial" w:hAnsi="Arial"/>
                <w:b/>
                <w:bCs/>
                <w:i w:val="false"/>
                <w:iCs w:val="false"/>
                <w:color w:val="C8A951"/>
                <w:sz w:val="20"/>
                <w:szCs w:val="20"/>
              </w:rPr>
              <w:t xml:space="preserve">R-005 / F-002</w:t>
            </w:r>
            <w:r>
              <w:rPr>
                <w:rFonts w:ascii="Arial" w:cs="Arial" w:eastAsia="Arial" w:hAnsi="Arial"/>
                <w:b/>
                <w:bCs/>
                <w:i w:val="false"/>
                <w:iCs w:val="false"/>
                <w:color w:val="FFFFFF"/>
                <w:sz w:val="20"/>
                <w:szCs w:val="20"/>
              </w:rPr>
              <w:t xml:space="preserve">  —  Twilio SMS API Token Hardcoded in GitHub</w:t>
            </w:r>
          </w:p>
        </w:tc>
      </w:tr>
      <w:tr>
        <w:tc>
          <w:tcPr>
            <w:tcW w:type="dxa" w:w="974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 Twilio API token — used to send SMS messages (including patient OTPs and appointment reminders) to Medlink's patients — was found hardcoded in a second private GitHub repository. The token was confirmed active at the time of discovery. An attacker with access to this token could send fraudulent SMS messages to Medlink's patient base, including phishing links or false medical information. ACTION REQUIRED: Regenerate the Twilio API token immediately and update the application configuration. Risk score: Likelihood 4 × Impact 4 = 16 (High — escalated given patient safety dimension).</w:t>
            </w:r>
          </w:p>
        </w:tc>
      </w:tr>
    </w:tbl>
    <w:p>
      <w:pPr>
        <w:spacing w:after="80" w:before="80"/>
      </w:pPr>
      <w:r>
        <w:rPr>
          <w:rFonts w:ascii="Arial" w:cs="Arial" w:eastAsia="Arial" w:hAnsi="Arial"/>
          <w:b w:val="false"/>
          <w:bCs w:val="false"/>
          <w:i w:val="false"/>
          <w:iCs w:val="false"/>
          <w:color w:val="1A1A1A"/>
          <w:sz w:val="20"/>
          <w:szCs w:val="20"/>
        </w:rPr>
        <w:t xml:space="preserve"/>
      </w:r>
    </w:p>
    <w:p>
      <w:pPr>
        <w:spacing w:after="80" w:before="40"/>
        <w:jc w:val="left"/>
      </w:pPr>
      <w:r>
        <w:rPr>
          <w:rFonts w:ascii="Arial" w:cs="Arial" w:eastAsia="Arial" w:hAnsi="Arial"/>
          <w:b w:val="false"/>
          <w:bCs w:val="false"/>
          <w:i/>
          <w:iCs/>
          <w:color w:val="666666"/>
          <w:sz w:val="20"/>
          <w:szCs w:val="20"/>
        </w:rPr>
        <w:t xml:space="preserve">Both credentials should be migrated to AWS Secrets Manager with automatic rotation as a follow-up action within 30 days. A secrets scanning gate should be implemented in the CI/CD pipeline to prevent recurrence.</w:t>
      </w:r>
    </w:p>
    <w:p>
      <w:pPr>
        <w:pStyle w:val="Heading1"/>
        <w:pageBreakBefore/>
        <w:spacing w:after="100" w:before="260"/>
      </w:pPr>
      <w:r>
        <w:rPr>
          <w:rFonts w:ascii="Arial" w:cs="Arial" w:eastAsia="Arial" w:hAnsi="Arial"/>
          <w:b/>
          <w:bCs/>
          <w:i w:val="false"/>
          <w:iCs w:val="false"/>
          <w:color w:val="1B2A4A"/>
          <w:sz w:val="26"/>
          <w:szCs w:val="26"/>
        </w:rPr>
        <w:t xml:space="preserve">4.  Key Findings for Management</w:t>
      </w:r>
    </w:p>
    <w:p>
      <w:pPr>
        <w:spacing w:after="60" w:before="80"/>
        <w:jc w:val="left"/>
      </w:pPr>
      <w:r>
        <w:rPr>
          <w:rFonts w:ascii="Arial" w:cs="Arial" w:eastAsia="Arial" w:hAnsi="Arial"/>
          <w:b w:val="false"/>
          <w:bCs w:val="false"/>
          <w:i w:val="false"/>
          <w:iCs w:val="false"/>
          <w:color w:val="1A1A1A"/>
          <w:sz w:val="20"/>
          <w:szCs w:val="20"/>
        </w:rPr>
        <w:t xml:space="preserve">The table below presents the ten most material findings from the engagement, selected on the basis of their regulatory exposure, potential impact on patient data, and strategic importance to the organisation's compliance programme. The full findings are documented in RCA-P2-002 (ISO 27001) and RCA-P2-003 (GDPR + DPDP Act).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2728"/>
        <w:gridCol w:w="1364"/>
        <w:gridCol w:w="1364"/>
        <w:gridCol w:w="3706"/>
      </w:tblGrid>
      <w:tr>
        <w:tc>
          <w:tcPr>
            <w:tcW w:type="dxa" w:w="584"/>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19"/>
                <w:szCs w:val="19"/>
              </w:rPr>
              <w:t xml:space="preserve">Ref</w:t>
            </w:r>
          </w:p>
        </w:tc>
        <w:tc>
          <w:tcPr>
            <w:tcW w:type="dxa" w:w="2728"/>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19"/>
                <w:szCs w:val="19"/>
              </w:rPr>
              <w:t xml:space="preserve">Finding</w:t>
            </w:r>
          </w:p>
        </w:tc>
        <w:tc>
          <w:tcPr>
            <w:tcW w:type="dxa" w:w="1364"/>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19"/>
                <w:szCs w:val="19"/>
              </w:rPr>
              <w:t xml:space="preserve">Framework</w:t>
            </w:r>
          </w:p>
        </w:tc>
        <w:tc>
          <w:tcPr>
            <w:tcW w:type="dxa" w:w="1364"/>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19"/>
                <w:szCs w:val="19"/>
              </w:rPr>
              <w:t xml:space="preserve">Severity</w:t>
            </w:r>
          </w:p>
        </w:tc>
        <w:tc>
          <w:tcPr>
            <w:tcW w:type="dxa" w:w="3706"/>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19"/>
                <w:szCs w:val="19"/>
              </w:rPr>
              <w:t xml:space="preserve">Management Implication</w:t>
            </w:r>
          </w:p>
        </w:tc>
      </w:tr>
      <w:tr>
        <w:tc>
          <w:tcPr>
            <w:tcW w:type="dxa" w:w="58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8"/>
                <w:szCs w:val="18"/>
              </w:rPr>
              <w:t xml:space="preserve">F-001</w:t>
            </w:r>
          </w:p>
        </w:tc>
        <w:tc>
          <w:tcPr>
            <w:tcW w:type="dxa" w:w="27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1A1A"/>
                <w:sz w:val="19"/>
                <w:szCs w:val="19"/>
              </w:rPr>
              <w:t xml:space="preserve">No Approved Information Security Policy</w:t>
            </w:r>
          </w:p>
        </w:tc>
        <w:tc>
          <w:tcPr>
            <w:tcW w:type="dxa" w:w="136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ISO 27001</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8"/>
                <w:szCs w:val="18"/>
              </w:rPr>
              <w:t xml:space="preserve">Critical</w:t>
            </w:r>
          </w:p>
        </w:tc>
        <w:tc>
          <w:tcPr>
            <w:tcW w:type="dxa" w:w="37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8"/>
                <w:szCs w:val="18"/>
              </w:rPr>
              <w:t xml:space="preserve">Without an approved IS policy, the ISMS has no governance foundation. Every subordinate control, procedure, and decision lacks formal management authorisation. This is a major non-conformance for any ISO 27001 certification audit.</w:t>
            </w:r>
          </w:p>
        </w:tc>
      </w:tr>
      <w:tr>
        <w:tc>
          <w:tcPr>
            <w:tcW w:type="dxa" w:w="58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8"/>
                <w:szCs w:val="18"/>
              </w:rPr>
              <w:t xml:space="preserve">F-002</w:t>
            </w:r>
          </w:p>
        </w:tc>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1A1A"/>
                <w:sz w:val="19"/>
                <w:szCs w:val="19"/>
              </w:rPr>
              <w:t xml:space="preserve">Production Credentials in Source Code — LIVE RISK</w:t>
            </w:r>
          </w:p>
        </w:tc>
        <w:tc>
          <w:tcPr>
            <w:tcW w:type="dxa" w:w="136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ISO 27001</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8"/>
                <w:szCs w:val="18"/>
              </w:rPr>
              <w:t xml:space="preserve">Critical</w:t>
            </w:r>
          </w:p>
        </w:tc>
        <w:tc>
          <w:tcPr>
            <w:tcW w:type="dxa" w:w="3706"/>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8"/>
                <w:szCs w:val="18"/>
              </w:rPr>
              <w:t xml:space="preserve">Active AWS and Twilio credentials exposed in GitHub. See Section 3. Immediate action required.</w:t>
            </w:r>
          </w:p>
        </w:tc>
      </w:tr>
      <w:tr>
        <w:tc>
          <w:tcPr>
            <w:tcW w:type="dxa" w:w="58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8"/>
                <w:szCs w:val="18"/>
              </w:rPr>
              <w:t xml:space="preserve">F-003</w:t>
            </w:r>
          </w:p>
        </w:tc>
        <w:tc>
          <w:tcPr>
            <w:tcW w:type="dxa" w:w="27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1A1A"/>
                <w:sz w:val="19"/>
                <w:szCs w:val="19"/>
              </w:rPr>
              <w:t xml:space="preserve">No Formal Risk Assessment Process</w:t>
            </w:r>
          </w:p>
        </w:tc>
        <w:tc>
          <w:tcPr>
            <w:tcW w:type="dxa" w:w="136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ISO 27001</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8"/>
                <w:szCs w:val="18"/>
              </w:rPr>
              <w:t xml:space="preserve">Critical</w:t>
            </w:r>
          </w:p>
        </w:tc>
        <w:tc>
          <w:tcPr>
            <w:tcW w:type="dxa" w:w="37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8"/>
                <w:szCs w:val="18"/>
              </w:rPr>
              <w:t xml:space="preserve">Controls cannot be demonstrated as commensurate with risk without a documented risk assessment. This gap also prevents conducting the mandatory GDPR Data Protection Impact Assessment (G-002).</w:t>
            </w:r>
          </w:p>
        </w:tc>
      </w:tr>
      <w:tr>
        <w:tc>
          <w:tcPr>
            <w:tcW w:type="dxa" w:w="58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8"/>
                <w:szCs w:val="18"/>
              </w:rPr>
              <w:t xml:space="preserve">F-004</w:t>
            </w:r>
          </w:p>
        </w:tc>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1A1A"/>
                <w:sz w:val="19"/>
                <w:szCs w:val="19"/>
              </w:rPr>
              <w:t xml:space="preserve">Patient PHI Unencrypted in 14 of 31 AWS S3 Buckets</w:t>
            </w:r>
          </w:p>
        </w:tc>
        <w:tc>
          <w:tcPr>
            <w:tcW w:type="dxa" w:w="136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ISO 27001 / GDPR / DPDP</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8"/>
                <w:szCs w:val="18"/>
              </w:rPr>
              <w:t xml:space="preserve">Critical</w:t>
            </w:r>
          </w:p>
        </w:tc>
        <w:tc>
          <w:tcPr>
            <w:tcW w:type="dxa" w:w="3706"/>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8"/>
                <w:szCs w:val="18"/>
              </w:rPr>
              <w:t xml:space="preserve">Diagnostic attachments including lab reports and radiology images stored without encryption. A misconfiguration or breach affecting these buckets would expose the most sensitive patient data without any cryptographic protection.</w:t>
            </w:r>
          </w:p>
        </w:tc>
      </w:tr>
      <w:tr>
        <w:tc>
          <w:tcPr>
            <w:tcW w:type="dxa" w:w="58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8"/>
                <w:szCs w:val="18"/>
              </w:rPr>
              <w:t xml:space="preserve">G-001</w:t>
            </w:r>
          </w:p>
        </w:tc>
        <w:tc>
          <w:tcPr>
            <w:tcW w:type="dxa" w:w="27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1A1A"/>
                <w:sz w:val="19"/>
                <w:szCs w:val="19"/>
              </w:rPr>
              <w:t xml:space="preserve">No Data Processing Agreements with UK Clinic Clients</w:t>
            </w:r>
          </w:p>
        </w:tc>
        <w:tc>
          <w:tcPr>
            <w:tcW w:type="dxa" w:w="136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UK GDPR</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8"/>
                <w:szCs w:val="18"/>
              </w:rPr>
              <w:t xml:space="preserve">Critical</w:t>
            </w:r>
          </w:p>
        </w:tc>
        <w:tc>
          <w:tcPr>
            <w:tcW w:type="dxa" w:w="37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8"/>
                <w:szCs w:val="18"/>
              </w:rPr>
              <w:t xml:space="preserve">Medlink processes UK patient health data without the legally required Article 28 processor agreements. Both Medlink and its UK clinic clients are in breach. ICO enforcement action is a realistic risk.</w:t>
            </w:r>
          </w:p>
        </w:tc>
      </w:tr>
      <w:tr>
        <w:tc>
          <w:tcPr>
            <w:tcW w:type="dxa" w:w="58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8"/>
                <w:szCs w:val="18"/>
              </w:rPr>
              <w:t xml:space="preserve">G-002</w:t>
            </w:r>
          </w:p>
        </w:tc>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1A1A"/>
                <w:sz w:val="19"/>
                <w:szCs w:val="19"/>
              </w:rPr>
              <w:t xml:space="preserve">No Data Protection Impact Assessment Conducted</w:t>
            </w:r>
          </w:p>
        </w:tc>
        <w:tc>
          <w:tcPr>
            <w:tcW w:type="dxa" w:w="136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UK GDPR</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8"/>
                <w:szCs w:val="18"/>
              </w:rPr>
              <w:t xml:space="preserve">Critical</w:t>
            </w:r>
          </w:p>
        </w:tc>
        <w:tc>
          <w:tcPr>
            <w:tcW w:type="dxa" w:w="3706"/>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8"/>
                <w:szCs w:val="18"/>
              </w:rPr>
              <w:t xml:space="preserve">A DPIA is mandatory for large-scale health data processing. Its absence is a standalone Article 35 violation carrying fines of up to GBP 8.75 million or 2% of annual global turnover.</w:t>
            </w:r>
          </w:p>
        </w:tc>
      </w:tr>
      <w:tr>
        <w:tc>
          <w:tcPr>
            <w:tcW w:type="dxa" w:w="58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8"/>
                <w:szCs w:val="18"/>
              </w:rPr>
              <w:t xml:space="preserve">D-001</w:t>
            </w:r>
          </w:p>
        </w:tc>
        <w:tc>
          <w:tcPr>
            <w:tcW w:type="dxa" w:w="27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1A1A"/>
                <w:sz w:val="19"/>
                <w:szCs w:val="19"/>
              </w:rPr>
              <w:t xml:space="preserve">Patient Consent Mechanism Non-Compliant</w:t>
            </w:r>
          </w:p>
        </w:tc>
        <w:tc>
          <w:tcPr>
            <w:tcW w:type="dxa" w:w="136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DPDP Act</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922B21"/>
                <w:sz w:val="18"/>
                <w:szCs w:val="18"/>
              </w:rPr>
              <w:t xml:space="preserve">Critical</w:t>
            </w:r>
          </w:p>
        </w:tc>
        <w:tc>
          <w:tcPr>
            <w:tcW w:type="dxa" w:w="37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8"/>
                <w:szCs w:val="18"/>
              </w:rPr>
              <w:t xml:space="preserve">Every Indian patient registered since August 2023 has been onboarded without DPDP Act-compliant consent. The single click-through does not meet the Section 6 specificity requirement. This is a live, ongoing non-compliance affecting all Indian patients on the platform.</w:t>
            </w:r>
          </w:p>
        </w:tc>
      </w:tr>
      <w:tr>
        <w:tc>
          <w:tcPr>
            <w:tcW w:type="dxa" w:w="58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8"/>
                <w:szCs w:val="18"/>
              </w:rPr>
              <w:t xml:space="preserve">F-005</w:t>
            </w:r>
          </w:p>
        </w:tc>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1A1A"/>
                <w:sz w:val="19"/>
                <w:szCs w:val="19"/>
              </w:rPr>
              <w:t xml:space="preserve">No Security Assessment for Lab Integration Partners</w:t>
            </w:r>
          </w:p>
        </w:tc>
        <w:tc>
          <w:tcPr>
            <w:tcW w:type="dxa" w:w="136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ISO 27001 / GDPR / DPDP</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8"/>
                <w:szCs w:val="18"/>
              </w:rPr>
              <w:t xml:space="preserve">High</w:t>
            </w:r>
          </w:p>
        </w:tc>
        <w:tc>
          <w:tcPr>
            <w:tcW w:type="dxa" w:w="3706"/>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8"/>
                <w:szCs w:val="18"/>
              </w:rPr>
              <w:t xml:space="preserve">Seven lab partners transmit patient diagnostic results into the Medlink platform with no security assessment, no contractual obligations, and no data processing agreements. One compromised lab partner is a direct path to a Medlink patient data breach.</w:t>
            </w:r>
          </w:p>
        </w:tc>
      </w:tr>
      <w:tr>
        <w:tc>
          <w:tcPr>
            <w:tcW w:type="dxa" w:w="58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8"/>
                <w:szCs w:val="18"/>
              </w:rPr>
              <w:t xml:space="preserve">F-006 / D-002</w:t>
            </w:r>
          </w:p>
        </w:tc>
        <w:tc>
          <w:tcPr>
            <w:tcW w:type="dxa" w:w="27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1A1A"/>
                <w:sz w:val="19"/>
                <w:szCs w:val="19"/>
              </w:rPr>
              <w:t xml:space="preserve">No Incident Response Procedure</w:t>
            </w:r>
          </w:p>
        </w:tc>
        <w:tc>
          <w:tcPr>
            <w:tcW w:type="dxa" w:w="136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ISO 27001 / GDPR / DPDP</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8"/>
                <w:szCs w:val="18"/>
              </w:rPr>
              <w:t xml:space="preserve">High</w:t>
            </w:r>
          </w:p>
        </w:tc>
        <w:tc>
          <w:tcPr>
            <w:tcW w:type="dxa" w:w="37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8"/>
                <w:szCs w:val="18"/>
              </w:rPr>
              <w:t xml:space="preserve">Medlink cannot currently meet its legal obligation to notify the ICO within 72 hours of a UK patient data breach (GDPR Article 33), or the Data Protection Board for Indian patient data (DPDP Section 8(6)). In a breach scenario, this gap would compound regulatory exposure.</w:t>
            </w:r>
          </w:p>
        </w:tc>
      </w:tr>
      <w:tr>
        <w:tc>
          <w:tcPr>
            <w:tcW w:type="dxa" w:w="58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8"/>
                <w:szCs w:val="18"/>
              </w:rPr>
              <w:t xml:space="preserve">G-003</w:t>
            </w:r>
          </w:p>
        </w:tc>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A1A1A"/>
                <w:sz w:val="19"/>
                <w:szCs w:val="19"/>
              </w:rPr>
              <w:t xml:space="preserve">No Data Protection Officer Appointed</w:t>
            </w:r>
          </w:p>
        </w:tc>
        <w:tc>
          <w:tcPr>
            <w:tcW w:type="dxa" w:w="136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8"/>
                <w:szCs w:val="18"/>
              </w:rPr>
              <w:t xml:space="preserve">UK GDPR</w:t>
            </w:r>
          </w:p>
        </w:tc>
        <w:tc>
          <w:tcPr>
            <w:tcW w:type="dxa" w:w="1364"/>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C0392B"/>
                <w:sz w:val="18"/>
                <w:szCs w:val="18"/>
              </w:rPr>
              <w:t xml:space="preserve">High</w:t>
            </w:r>
          </w:p>
        </w:tc>
        <w:tc>
          <w:tcPr>
            <w:tcW w:type="dxa" w:w="3706"/>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8"/>
                <w:szCs w:val="18"/>
              </w:rPr>
              <w:t xml:space="preserve">DPO appointment is mandatory for large-scale health data processing. The CTO currently holds this responsibility informally alongside operational duties — an inherent conflict of interest.</w:t>
            </w:r>
          </w:p>
        </w:tc>
      </w:tr>
    </w:tbl>
    <w:p>
      <w:pPr>
        <w:pStyle w:val="Heading1"/>
        <w:pageBreakBefore/>
        <w:spacing w:after="100" w:before="260"/>
      </w:pPr>
      <w:r>
        <w:rPr>
          <w:rFonts w:ascii="Arial" w:cs="Arial" w:eastAsia="Arial" w:hAnsi="Arial"/>
          <w:b/>
          <w:bCs/>
          <w:i w:val="false"/>
          <w:iCs w:val="false"/>
          <w:color w:val="1B2A4A"/>
          <w:sz w:val="26"/>
          <w:szCs w:val="26"/>
        </w:rPr>
        <w:t xml:space="preserve">5.  The Dual-Jurisdiction Challenge</w:t>
      </w:r>
    </w:p>
    <w:p>
      <w:pPr>
        <w:spacing w:after="60" w:before="80"/>
        <w:jc w:val="left"/>
      </w:pPr>
      <w:r>
        <w:rPr>
          <w:rFonts w:ascii="Arial" w:cs="Arial" w:eastAsia="Arial" w:hAnsi="Arial"/>
          <w:b w:val="false"/>
          <w:bCs w:val="false"/>
          <w:i w:val="false"/>
          <w:iCs w:val="false"/>
          <w:color w:val="1A1A1A"/>
          <w:sz w:val="20"/>
          <w:szCs w:val="20"/>
        </w:rPr>
        <w:t xml:space="preserve">Operating under UK GDPR and DPDP Act 2023 simultaneously is not simply a matter of complying with two separate checklists. The two frameworks diverge in material ways, creating compliance tensions that require deliberate architectural decisions — not generic solutions. Three tensions are of particular significance for Medlink's 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3"/>
        <w:gridCol w:w="7213"/>
      </w:tblGrid>
      <w:tr>
        <w:tc>
          <w:tcPr>
            <w:tcW w:type="dxa" w:w="2533"/>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Area of Tension</w:t>
            </w:r>
          </w:p>
        </w:tc>
        <w:tc>
          <w:tcPr>
            <w:tcW w:type="dxa" w:w="7213"/>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Management Implication</w:t>
            </w:r>
          </w:p>
        </w:tc>
      </w:tr>
      <w:tr>
        <w:tc>
          <w:tcPr>
            <w:tcW w:type="dxa" w:w="253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Breach Notification</w:t>
            </w:r>
          </w:p>
        </w:tc>
        <w:tc>
          <w:tcPr>
            <w:tcW w:type="dxa" w:w="7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 single breach affecting both UK and Indian patients triggers two parallel notification obligations: to the ICO (UK GDPR, 72 hours) and to the Data Protection Board (DPDP Act, timeline to be prescribed). Medlink currently has no incident response procedure capable of meeting either obligation.</w:t>
            </w:r>
          </w:p>
        </w:tc>
      </w:tr>
      <w:tr>
        <w:tc>
          <w:tcPr>
            <w:tcW w:type="dxa" w:w="2533"/>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Consent Legal Basis</w:t>
            </w:r>
          </w:p>
        </w:tc>
        <w:tc>
          <w:tcPr>
            <w:tcW w:type="dxa" w:w="7213"/>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UK GDPR permits healthcare processing without fresh patient consent under Article 9(2)(h). The DPDP Act requires purpose-specific consent for Indian patients. The same data flows require different legal architecture depending on the patient's jurisdiction. This must be designed into the platform's consent and data processing framework.</w:t>
            </w:r>
          </w:p>
        </w:tc>
      </w:tr>
      <w:tr>
        <w:tc>
          <w:tcPr>
            <w:tcW w:type="dxa" w:w="253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Data Retention</w:t>
            </w:r>
          </w:p>
        </w:tc>
        <w:tc>
          <w:tcPr>
            <w:tcW w:type="dxa" w:w="7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Both frameworks limit retention to what is necessary, but healthcare laws impose minimum retention floors: NHS guidelines (8 years for UK adult records) and MCI guidelines (5–7 years for Indian records). Medlink's retention framework must satisfy both the minimum floor and the maximum ceiling simultaneously.</w:t>
            </w:r>
          </w:p>
        </w:tc>
      </w:tr>
    </w:tbl>
    <w:p>
      <w:pPr>
        <w:spacing w:after="60" w:before="60"/>
      </w:pPr>
      <w:r>
        <w:rPr>
          <w:rFonts w:ascii="Arial" w:cs="Arial" w:eastAsia="Arial" w:hAnsi="Arial"/>
          <w:b w:val="false"/>
          <w:bCs w:val="false"/>
          <w:i w:val="false"/>
          <w:iCs w:val="false"/>
          <w:color w:val="1A1A1A"/>
          <w:sz w:val="20"/>
          <w:szCs w:val="20"/>
        </w:rPr>
        <w:t xml:space="preserve"/>
      </w:r>
    </w:p>
    <w:p>
      <w:pPr>
        <w:spacing w:after="80" w:before="60"/>
        <w:jc w:val="left"/>
      </w:pPr>
      <w:r>
        <w:rPr>
          <w:rFonts w:ascii="Arial" w:cs="Arial" w:eastAsia="Arial" w:hAnsi="Arial"/>
          <w:b w:val="false"/>
          <w:bCs w:val="false"/>
          <w:i w:val="false"/>
          <w:iCs w:val="false"/>
          <w:color w:val="1A1A1A"/>
          <w:sz w:val="20"/>
          <w:szCs w:val="20"/>
        </w:rPr>
        <w:t xml:space="preserve">These tensions are documented in detail in the GDPR + DPDP Act Assessment (RCA-P2-003, Section 5). Resolution requires input from qualified legal counsel, and the Remediation Roadmap (RCA-P2-007) sequences the compliance architecture design before the implementation of individual controls.</w:t>
      </w:r>
    </w:p>
    <w:p>
      <w:pPr>
        <w:pStyle w:val="Heading1"/>
        <w:pageBreakBefore/>
        <w:spacing w:after="100" w:before="260"/>
      </w:pPr>
      <w:r>
        <w:rPr>
          <w:rFonts w:ascii="Arial" w:cs="Arial" w:eastAsia="Arial" w:hAnsi="Arial"/>
          <w:b/>
          <w:bCs/>
          <w:i w:val="false"/>
          <w:iCs w:val="false"/>
          <w:color w:val="1B2A4A"/>
          <w:sz w:val="26"/>
          <w:szCs w:val="26"/>
        </w:rPr>
        <w:t xml:space="preserve">6.  Recommended Programme of Work</w:t>
      </w:r>
    </w:p>
    <w:p>
      <w:pPr>
        <w:spacing w:after="60" w:before="80"/>
        <w:jc w:val="left"/>
      </w:pPr>
      <w:r>
        <w:rPr>
          <w:rFonts w:ascii="Arial" w:cs="Arial" w:eastAsia="Arial" w:hAnsi="Arial"/>
          <w:b w:val="false"/>
          <w:bCs w:val="false"/>
          <w:i w:val="false"/>
          <w:iCs w:val="false"/>
          <w:color w:val="1A1A1A"/>
          <w:sz w:val="20"/>
          <w:szCs w:val="20"/>
        </w:rPr>
        <w:t xml:space="preserve">The Remediation Roadmap (RCA-P2-007) sets out 34 remediation actions across four phases, spanning July 2024 to June 2025. The programme is sequenced so that governance and live risk actions come first, creating the foundation on which technical controls and assurance activities can be built.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949"/>
        <w:gridCol w:w="1169"/>
        <w:gridCol w:w="4289"/>
      </w:tblGrid>
      <w:tr>
        <w:tc>
          <w:tcPr>
            <w:tcW w:type="dxa" w:w="2339"/>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Phase</w:t>
            </w:r>
          </w:p>
        </w:tc>
        <w:tc>
          <w:tcPr>
            <w:tcW w:type="dxa" w:w="1949"/>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Period</w:t>
            </w:r>
          </w:p>
        </w:tc>
        <w:tc>
          <w:tcPr>
            <w:tcW w:type="dxa" w:w="1169"/>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Actions</w:t>
            </w:r>
          </w:p>
        </w:tc>
        <w:tc>
          <w:tcPr>
            <w:tcW w:type="dxa" w:w="4289"/>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Key Activities</w:t>
            </w:r>
          </w:p>
        </w:tc>
      </w:tr>
      <w:tr>
        <w:tc>
          <w:tcPr>
            <w:tcW w:type="dxa" w:w="2339"/>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top"/>
          </w:tcPr>
          <w:p>
            <w:pPr>
              <w:spacing w:after="10" w:before="40"/>
              <w:jc w:val="left"/>
            </w:pPr>
            <w:r>
              <w:rPr>
                <w:rFonts w:ascii="Arial" w:cs="Arial" w:eastAsia="Arial" w:hAnsi="Arial"/>
                <w:b/>
                <w:bCs/>
                <w:i w:val="false"/>
                <w:iCs w:val="false"/>
                <w:color w:val="1A5276"/>
                <w:sz w:val="19"/>
                <w:szCs w:val="19"/>
              </w:rPr>
              <w:t xml:space="preserve">Phase 1</w:t>
            </w:r>
          </w:p>
          <w:p>
            <w:pPr>
              <w:spacing w:after="40" w:before="0"/>
              <w:jc w:val="left"/>
            </w:pPr>
            <w:r>
              <w:rPr>
                <w:rFonts w:ascii="Arial" w:cs="Arial" w:eastAsia="Arial" w:hAnsi="Arial"/>
                <w:b w:val="false"/>
                <w:bCs w:val="false"/>
                <w:i w:val="false"/>
                <w:iCs w:val="false"/>
                <w:color w:val="1A1A1A"/>
                <w:sz w:val="18"/>
                <w:szCs w:val="18"/>
              </w:rPr>
              <w:t xml:space="preserve">Immediate &amp; Short-Term</w:t>
            </w:r>
          </w:p>
        </w:tc>
        <w:tc>
          <w:tcPr>
            <w:tcW w:type="dxa" w:w="1949"/>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July – August 2024</w:t>
            </w:r>
          </w:p>
        </w:tc>
        <w:tc>
          <w:tcPr>
            <w:tcW w:type="dxa" w:w="1169"/>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1A5276"/>
                <w:sz w:val="22"/>
                <w:szCs w:val="22"/>
              </w:rPr>
              <w:t xml:space="preserve">10</w:t>
            </w:r>
          </w:p>
        </w:tc>
        <w:tc>
          <w:tcPr>
            <w:tcW w:type="dxa" w:w="428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8"/>
                <w:szCs w:val="18"/>
              </w:rPr>
              <w:t xml:space="preserve">Rotate live risk credentials; enforce S3 encryption; approve IS policy; appoint DPO and Grievance Officer; initiate UK client DPAs; resolve outstanding patient erasure request; enable KMS key rotation.</w:t>
            </w:r>
          </w:p>
        </w:tc>
      </w:tr>
      <w:tr>
        <w:tc>
          <w:tcPr>
            <w:tcW w:type="dxa" w:w="2339"/>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vAlign w:val="top"/>
          </w:tcPr>
          <w:p>
            <w:pPr>
              <w:spacing w:after="10" w:before="40"/>
              <w:jc w:val="left"/>
            </w:pPr>
            <w:r>
              <w:rPr>
                <w:rFonts w:ascii="Arial" w:cs="Arial" w:eastAsia="Arial" w:hAnsi="Arial"/>
                <w:b/>
                <w:bCs/>
                <w:i w:val="false"/>
                <w:iCs w:val="false"/>
                <w:color w:val="117A65"/>
                <w:sz w:val="19"/>
                <w:szCs w:val="19"/>
              </w:rPr>
              <w:t xml:space="preserve">Phase 2</w:t>
            </w:r>
          </w:p>
          <w:p>
            <w:pPr>
              <w:spacing w:after="40" w:before="0"/>
              <w:jc w:val="left"/>
            </w:pPr>
            <w:r>
              <w:rPr>
                <w:rFonts w:ascii="Arial" w:cs="Arial" w:eastAsia="Arial" w:hAnsi="Arial"/>
                <w:b w:val="false"/>
                <w:bCs w:val="false"/>
                <w:i w:val="false"/>
                <w:iCs w:val="false"/>
                <w:color w:val="1A1A1A"/>
                <w:sz w:val="18"/>
                <w:szCs w:val="18"/>
              </w:rPr>
              <w:t xml:space="preserve">Governance &amp; Privacy Foundations</w:t>
            </w:r>
          </w:p>
        </w:tc>
        <w:tc>
          <w:tcPr>
            <w:tcW w:type="dxa" w:w="1949"/>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September – November 2024</w:t>
            </w:r>
          </w:p>
        </w:tc>
        <w:tc>
          <w:tcPr>
            <w:tcW w:type="dxa" w:w="1169"/>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117A65"/>
                <w:sz w:val="22"/>
                <w:szCs w:val="22"/>
              </w:rPr>
              <w:t xml:space="preserve">7</w:t>
            </w:r>
          </w:p>
        </w:tc>
        <w:tc>
          <w:tcPr>
            <w:tcW w:type="dxa" w:w="428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8"/>
                <w:szCs w:val="18"/>
              </w:rPr>
              <w:t xml:space="preserve">Conduct DPIA; formal risk assessment; redesign patient consent mechanism; develop IR procedure; vendor security assessments for 7 lab partners; assess retained client data; update privacy notice.</w:t>
            </w:r>
          </w:p>
        </w:tc>
      </w:tr>
      <w:tr>
        <w:tc>
          <w:tcPr>
            <w:tcW w:type="dxa" w:w="2339"/>
            <w:tcBorders>
              <w:top w:val="single" w:color="CCCCCC" w:sz="4"/>
              <w:left w:val="single" w:color="CCCCCC" w:sz="4"/>
              <w:bottom w:val="single" w:color="CCCCCC" w:sz="4"/>
              <w:right w:val="single" w:color="CCCCCC" w:sz="4"/>
            </w:tcBorders>
            <w:shd w:fill="E8DAEF" w:val="clear"/>
            <w:tcMar>
              <w:top w:type="dxa" w:w="80"/>
              <w:left w:type="dxa" w:w="120"/>
              <w:bottom w:type="dxa" w:w="80"/>
              <w:right w:type="dxa" w:w="120"/>
            </w:tcMar>
            <w:vAlign w:val="top"/>
          </w:tcPr>
          <w:p>
            <w:pPr>
              <w:spacing w:after="10" w:before="40"/>
              <w:jc w:val="left"/>
            </w:pPr>
            <w:r>
              <w:rPr>
                <w:rFonts w:ascii="Arial" w:cs="Arial" w:eastAsia="Arial" w:hAnsi="Arial"/>
                <w:b/>
                <w:bCs/>
                <w:i w:val="false"/>
                <w:iCs w:val="false"/>
                <w:color w:val="6C3483"/>
                <w:sz w:val="19"/>
                <w:szCs w:val="19"/>
              </w:rPr>
              <w:t xml:space="preserve">Phase 3</w:t>
            </w:r>
          </w:p>
          <w:p>
            <w:pPr>
              <w:spacing w:after="40" w:before="0"/>
              <w:jc w:val="left"/>
            </w:pPr>
            <w:r>
              <w:rPr>
                <w:rFonts w:ascii="Arial" w:cs="Arial" w:eastAsia="Arial" w:hAnsi="Arial"/>
                <w:b w:val="false"/>
                <w:bCs w:val="false"/>
                <w:i w:val="false"/>
                <w:iCs w:val="false"/>
                <w:color w:val="1A1A1A"/>
                <w:sz w:val="18"/>
                <w:szCs w:val="18"/>
              </w:rPr>
              <w:t xml:space="preserve">Controls Implementation</w:t>
            </w:r>
          </w:p>
        </w:tc>
        <w:tc>
          <w:tcPr>
            <w:tcW w:type="dxa" w:w="1949"/>
            <w:tcBorders>
              <w:top w:val="single" w:color="CCCCCC" w:sz="4"/>
              <w:left w:val="single" w:color="CCCCCC" w:sz="4"/>
              <w:bottom w:val="single" w:color="CCCCCC" w:sz="4"/>
              <w:right w:val="single" w:color="CCCCCC" w:sz="4"/>
            </w:tcBorders>
            <w:shd w:fill="E8DAE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December 2024 – February 2025</w:t>
            </w:r>
          </w:p>
        </w:tc>
        <w:tc>
          <w:tcPr>
            <w:tcW w:type="dxa" w:w="1169"/>
            <w:tcBorders>
              <w:top w:val="single" w:color="CCCCCC" w:sz="4"/>
              <w:left w:val="single" w:color="CCCCCC" w:sz="4"/>
              <w:bottom w:val="single" w:color="CCCCCC" w:sz="4"/>
              <w:right w:val="single" w:color="CCCCCC" w:sz="4"/>
            </w:tcBorders>
            <w:shd w:fill="E8DAEF"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6C3483"/>
                <w:sz w:val="22"/>
                <w:szCs w:val="22"/>
              </w:rPr>
              <w:t xml:space="preserve">7</w:t>
            </w:r>
          </w:p>
        </w:tc>
        <w:tc>
          <w:tcPr>
            <w:tcW w:type="dxa" w:w="428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8"/>
                <w:szCs w:val="18"/>
              </w:rPr>
              <w:t xml:space="preserve">Application-level audit logging; Data Principal rights mechanism; secrets scanning in CI/CD; data classification enforcement; cryptographic policy; annual security awareness training; physical security.</w:t>
            </w:r>
          </w:p>
        </w:tc>
      </w:tr>
      <w:tr>
        <w:tc>
          <w:tcPr>
            <w:tcW w:type="dxa" w:w="2339"/>
            <w:tcBorders>
              <w:top w:val="single" w:color="CCCCCC" w:sz="4"/>
              <w:left w:val="single" w:color="CCCCCC" w:sz="4"/>
              <w:bottom w:val="single" w:color="CCCCCC" w:sz="4"/>
              <w:right w:val="single" w:color="CCCCCC" w:sz="4"/>
            </w:tcBorders>
            <w:shd w:fill="FCF3CF" w:val="clear"/>
            <w:tcMar>
              <w:top w:type="dxa" w:w="80"/>
              <w:left w:type="dxa" w:w="120"/>
              <w:bottom w:type="dxa" w:w="80"/>
              <w:right w:type="dxa" w:w="120"/>
            </w:tcMar>
            <w:vAlign w:val="top"/>
          </w:tcPr>
          <w:p>
            <w:pPr>
              <w:spacing w:after="10" w:before="40"/>
              <w:jc w:val="left"/>
            </w:pPr>
            <w:r>
              <w:rPr>
                <w:rFonts w:ascii="Arial" w:cs="Arial" w:eastAsia="Arial" w:hAnsi="Arial"/>
                <w:b/>
                <w:bCs/>
                <w:i w:val="false"/>
                <w:iCs w:val="false"/>
                <w:color w:val="B7950A"/>
                <w:sz w:val="19"/>
                <w:szCs w:val="19"/>
              </w:rPr>
              <w:t xml:space="preserve">Phase 4</w:t>
            </w:r>
          </w:p>
          <w:p>
            <w:pPr>
              <w:spacing w:after="40" w:before="0"/>
              <w:jc w:val="left"/>
            </w:pPr>
            <w:r>
              <w:rPr>
                <w:rFonts w:ascii="Arial" w:cs="Arial" w:eastAsia="Arial" w:hAnsi="Arial"/>
                <w:b w:val="false"/>
                <w:bCs w:val="false"/>
                <w:i w:val="false"/>
                <w:iCs w:val="false"/>
                <w:color w:val="1A1A1A"/>
                <w:sz w:val="18"/>
                <w:szCs w:val="18"/>
              </w:rPr>
              <w:t xml:space="preserve">Assurance &amp; Continuous Improvement</w:t>
            </w:r>
          </w:p>
        </w:tc>
        <w:tc>
          <w:tcPr>
            <w:tcW w:type="dxa" w:w="1949"/>
            <w:tcBorders>
              <w:top w:val="single" w:color="CCCCCC" w:sz="4"/>
              <w:left w:val="single" w:color="CCCCCC" w:sz="4"/>
              <w:bottom w:val="single" w:color="CCCCCC" w:sz="4"/>
              <w:right w:val="single" w:color="CCCCCC" w:sz="4"/>
            </w:tcBorders>
            <w:shd w:fill="FCF3C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March – June 2025</w:t>
            </w:r>
          </w:p>
        </w:tc>
        <w:tc>
          <w:tcPr>
            <w:tcW w:type="dxa" w:w="1169"/>
            <w:tcBorders>
              <w:top w:val="single" w:color="CCCCCC" w:sz="4"/>
              <w:left w:val="single" w:color="CCCCCC" w:sz="4"/>
              <w:bottom w:val="single" w:color="CCCCCC" w:sz="4"/>
              <w:right w:val="single" w:color="CCCCCC" w:sz="4"/>
            </w:tcBorders>
            <w:shd w:fill="FCF3CF"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B7950A"/>
                <w:sz w:val="22"/>
                <w:szCs w:val="22"/>
              </w:rPr>
              <w:t xml:space="preserve">10</w:t>
            </w:r>
          </w:p>
        </w:tc>
        <w:tc>
          <w:tcPr>
            <w:tcW w:type="dxa" w:w="428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8"/>
                <w:szCs w:val="18"/>
              </w:rPr>
              <w:t xml:space="preserve">Background screening programme; certificate pinning; vendor assessments (Razorpay, Twilio); ISMS internal audit; retention schedule implementation; access recertification; Stage 1 certification readiness.</w:t>
            </w:r>
          </w:p>
        </w:tc>
      </w:tr>
      <w:tr>
        <w:tc>
          <w:tcPr>
            <w:tcW w:type="dxa" w:w="233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Total</w:t>
            </w:r>
          </w:p>
        </w:tc>
        <w:tc>
          <w:tcPr>
            <w:tcW w:type="dxa" w:w="194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July 2024 – June 2025</w:t>
            </w:r>
          </w:p>
        </w:tc>
        <w:tc>
          <w:tcPr>
            <w:tcW w:type="dxa" w:w="116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1B2A4A"/>
                <w:sz w:val="22"/>
                <w:szCs w:val="22"/>
              </w:rPr>
              <w:t xml:space="preserve">34</w:t>
            </w:r>
          </w:p>
        </w:tc>
        <w:tc>
          <w:tcPr>
            <w:tcW w:type="dxa" w:w="428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Full remediation programme across ISO 27001:2022, UK GDPR, and DPDP Act 2023.</w:t>
            </w:r>
          </w:p>
        </w:tc>
      </w:tr>
    </w:tbl>
    <w:p>
      <w:pPr>
        <w:spacing w:after="80" w:before="80"/>
      </w:pPr>
      <w:r>
        <w:rPr>
          <w:rFonts w:ascii="Arial" w:cs="Arial" w:eastAsia="Arial" w:hAnsi="Arial"/>
          <w:b w:val="false"/>
          <w:bCs w:val="false"/>
          <w:i w:val="false"/>
          <w:iCs w:val="false"/>
          <w:color w:val="1A1A1A"/>
          <w:sz w:val="20"/>
          <w:szCs w:val="20"/>
        </w:rPr>
        <w:t xml:space="preserve"/>
      </w:r>
    </w:p>
    <w:p>
      <w:pPr>
        <w:spacing w:after="80" w:before="40"/>
        <w:jc w:val="left"/>
      </w:pPr>
      <w:r>
        <w:rPr>
          <w:rFonts w:ascii="Arial" w:cs="Arial" w:eastAsia="Arial" w:hAnsi="Arial"/>
          <w:b w:val="false"/>
          <w:bCs w:val="false"/>
          <w:i/>
          <w:iCs/>
          <w:color w:val="666666"/>
          <w:sz w:val="20"/>
          <w:szCs w:val="20"/>
        </w:rPr>
        <w:t xml:space="preserve">Estimated ISO 27001:2022 certification readiness: 10 to 14 months from the date of this report, subject to successful execution of the programme. The extended timeline relative to a standard ISO 27001 implementation reflects the additional complexity of simultaneously building GDPR and DPDP Act compliance architecture.</w:t>
      </w:r>
    </w:p>
    <w:p>
      <w:pPr>
        <w:pStyle w:val="Heading1"/>
        <w:pageBreakBefore/>
        <w:spacing w:after="100" w:before="260"/>
      </w:pPr>
      <w:r>
        <w:rPr>
          <w:rFonts w:ascii="Arial" w:cs="Arial" w:eastAsia="Arial" w:hAnsi="Arial"/>
          <w:b/>
          <w:bCs/>
          <w:i w:val="false"/>
          <w:iCs w:val="false"/>
          <w:color w:val="1B2A4A"/>
          <w:sz w:val="26"/>
          <w:szCs w:val="26"/>
        </w:rPr>
        <w:t xml:space="preserve">7.  Engagement Deliverables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4288"/>
        <w:gridCol w:w="1754"/>
        <w:gridCol w:w="2145"/>
      </w:tblGrid>
      <w:tr>
        <w:tc>
          <w:tcPr>
            <w:tcW w:type="dxa" w:w="1559"/>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Ref</w:t>
            </w:r>
          </w:p>
        </w:tc>
        <w:tc>
          <w:tcPr>
            <w:tcW w:type="dxa" w:w="4288"/>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Document</w:t>
            </w:r>
          </w:p>
        </w:tc>
        <w:tc>
          <w:tcPr>
            <w:tcW w:type="dxa" w:w="1754"/>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Format</w:t>
            </w:r>
          </w:p>
        </w:tc>
        <w:tc>
          <w:tcPr>
            <w:tcW w:type="dxa" w:w="2145"/>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Delivered</w:t>
            </w:r>
          </w:p>
        </w:tc>
      </w:tr>
      <w:tr>
        <w:tc>
          <w:tcPr>
            <w:tcW w:type="dxa" w:w="155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RCA-P2-001</w:t>
            </w:r>
          </w:p>
        </w:tc>
        <w:tc>
          <w:tcPr>
            <w:tcW w:type="dxa" w:w="42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Engagement Letter &amp; Scope of Work</w:t>
            </w:r>
          </w:p>
        </w:tc>
        <w:tc>
          <w:tcPr>
            <w:tcW w:type="dxa" w:w="17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9"/>
                <w:szCs w:val="19"/>
              </w:rPr>
              <w:t xml:space="preserve">Word</w:t>
            </w:r>
          </w:p>
        </w:tc>
        <w:tc>
          <w:tcPr>
            <w:tcW w:type="dxa" w:w="214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10 Mar 2024</w:t>
            </w:r>
          </w:p>
        </w:tc>
      </w:tr>
      <w:tr>
        <w:tc>
          <w:tcPr>
            <w:tcW w:type="dxa" w:w="155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RCA-P2-002</w:t>
            </w:r>
          </w:p>
        </w:tc>
        <w:tc>
          <w:tcPr>
            <w:tcW w:type="dxa" w:w="428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ISO 27001:2022 Gap Assessment Report</w:t>
            </w:r>
          </w:p>
        </w:tc>
        <w:tc>
          <w:tcPr>
            <w:tcW w:type="dxa" w:w="175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9"/>
                <w:szCs w:val="19"/>
              </w:rPr>
              <w:t xml:space="preserve">Word</w:t>
            </w:r>
          </w:p>
        </w:tc>
        <w:tc>
          <w:tcPr>
            <w:tcW w:type="dxa" w:w="214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28 Apr 2024</w:t>
            </w:r>
          </w:p>
        </w:tc>
      </w:tr>
      <w:tr>
        <w:tc>
          <w:tcPr>
            <w:tcW w:type="dxa" w:w="155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RCA-P2-003</w:t>
            </w:r>
          </w:p>
        </w:tc>
        <w:tc>
          <w:tcPr>
            <w:tcW w:type="dxa" w:w="42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GDPR + DPDP Act 2023 Compliance Assessment Report</w:t>
            </w:r>
          </w:p>
        </w:tc>
        <w:tc>
          <w:tcPr>
            <w:tcW w:type="dxa" w:w="17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9"/>
                <w:szCs w:val="19"/>
              </w:rPr>
              <w:t xml:space="preserve">Word</w:t>
            </w:r>
          </w:p>
        </w:tc>
        <w:tc>
          <w:tcPr>
            <w:tcW w:type="dxa" w:w="214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15 May 2024</w:t>
            </w:r>
          </w:p>
        </w:tc>
      </w:tr>
      <w:tr>
        <w:tc>
          <w:tcPr>
            <w:tcW w:type="dxa" w:w="155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RCA-P2-004</w:t>
            </w:r>
          </w:p>
        </w:tc>
        <w:tc>
          <w:tcPr>
            <w:tcW w:type="dxa" w:w="428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Records of Processing Activities (RoPA)</w:t>
            </w:r>
          </w:p>
        </w:tc>
        <w:tc>
          <w:tcPr>
            <w:tcW w:type="dxa" w:w="175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9"/>
                <w:szCs w:val="19"/>
              </w:rPr>
              <w:t xml:space="preserve">Excel</w:t>
            </w:r>
          </w:p>
        </w:tc>
        <w:tc>
          <w:tcPr>
            <w:tcW w:type="dxa" w:w="214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15 May 2024</w:t>
            </w:r>
          </w:p>
        </w:tc>
      </w:tr>
      <w:tr>
        <w:tc>
          <w:tcPr>
            <w:tcW w:type="dxa" w:w="155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RCA-P2-005</w:t>
            </w:r>
          </w:p>
        </w:tc>
        <w:tc>
          <w:tcPr>
            <w:tcW w:type="dxa" w:w="42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Statement of Applicability (SoA) — All 93 Controls</w:t>
            </w:r>
          </w:p>
        </w:tc>
        <w:tc>
          <w:tcPr>
            <w:tcW w:type="dxa" w:w="17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9"/>
                <w:szCs w:val="19"/>
              </w:rPr>
              <w:t xml:space="preserve">Excel</w:t>
            </w:r>
          </w:p>
        </w:tc>
        <w:tc>
          <w:tcPr>
            <w:tcW w:type="dxa" w:w="214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31 May 2024</w:t>
            </w:r>
          </w:p>
        </w:tc>
      </w:tr>
      <w:tr>
        <w:tc>
          <w:tcPr>
            <w:tcW w:type="dxa" w:w="155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RCA-P2-006</w:t>
            </w:r>
          </w:p>
        </w:tc>
        <w:tc>
          <w:tcPr>
            <w:tcW w:type="dxa" w:w="428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Information Security Risk Register — 31 Risks</w:t>
            </w:r>
          </w:p>
        </w:tc>
        <w:tc>
          <w:tcPr>
            <w:tcW w:type="dxa" w:w="175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9"/>
                <w:szCs w:val="19"/>
              </w:rPr>
              <w:t xml:space="preserve">Excel</w:t>
            </w:r>
          </w:p>
        </w:tc>
        <w:tc>
          <w:tcPr>
            <w:tcW w:type="dxa" w:w="214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31 May 2024</w:t>
            </w:r>
          </w:p>
        </w:tc>
      </w:tr>
      <w:tr>
        <w:tc>
          <w:tcPr>
            <w:tcW w:type="dxa" w:w="155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RCA-P2-007</w:t>
            </w:r>
          </w:p>
        </w:tc>
        <w:tc>
          <w:tcPr>
            <w:tcW w:type="dxa" w:w="428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Remediation Roadmap — 34 Actions, 4 Phases</w:t>
            </w:r>
          </w:p>
        </w:tc>
        <w:tc>
          <w:tcPr>
            <w:tcW w:type="dxa" w:w="17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9"/>
                <w:szCs w:val="19"/>
              </w:rPr>
              <w:t xml:space="preserve">Excel</w:t>
            </w:r>
          </w:p>
        </w:tc>
        <w:tc>
          <w:tcPr>
            <w:tcW w:type="dxa" w:w="214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15 Jun 2024</w:t>
            </w:r>
          </w:p>
        </w:tc>
      </w:tr>
      <w:tr>
        <w:tc>
          <w:tcPr>
            <w:tcW w:type="dxa" w:w="155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RCA-P2-008</w:t>
            </w:r>
          </w:p>
        </w:tc>
        <w:tc>
          <w:tcPr>
            <w:tcW w:type="dxa" w:w="428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Executive Summary (this document)</w:t>
            </w:r>
          </w:p>
        </w:tc>
        <w:tc>
          <w:tcPr>
            <w:tcW w:type="dxa" w:w="175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666666"/>
                <w:sz w:val="19"/>
                <w:szCs w:val="19"/>
              </w:rPr>
              <w:t xml:space="preserve">Word</w:t>
            </w:r>
          </w:p>
        </w:tc>
        <w:tc>
          <w:tcPr>
            <w:tcW w:type="dxa" w:w="214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30 Jun 2024</w:t>
            </w:r>
          </w:p>
        </w:tc>
      </w:tr>
    </w:tbl>
    <w:p>
      <w:pPr>
        <w:pStyle w:val="Heading1"/>
        <w:pageBreakBefore/>
        <w:spacing w:after="100" w:before="260"/>
      </w:pPr>
      <w:r>
        <w:rPr>
          <w:rFonts w:ascii="Arial" w:cs="Arial" w:eastAsia="Arial" w:hAnsi="Arial"/>
          <w:b/>
          <w:bCs/>
          <w:i w:val="false"/>
          <w:iCs w:val="false"/>
          <w:color w:val="1B2A4A"/>
          <w:sz w:val="26"/>
          <w:szCs w:val="26"/>
        </w:rPr>
        <w:t xml:space="preserve">8.  Actions Required from Board and Senior Management</w:t>
      </w:r>
    </w:p>
    <w:p>
      <w:pPr>
        <w:spacing w:after="60" w:before="80"/>
        <w:jc w:val="left"/>
      </w:pPr>
      <w:r>
        <w:rPr>
          <w:rFonts w:ascii="Arial" w:cs="Arial" w:eastAsia="Arial" w:hAnsi="Arial"/>
          <w:b w:val="false"/>
          <w:bCs w:val="false"/>
          <w:i w:val="false"/>
          <w:iCs w:val="false"/>
          <w:color w:val="1A1A1A"/>
          <w:sz w:val="20"/>
          <w:szCs w:val="20"/>
        </w:rPr>
        <w:t xml:space="preserve">The following actions require decisions or authorisation from the Board and Senior Management. They are sequenced by urgency. Operational implementation details are contained in the Remediation Roadmap (RCA-P2-007).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22B21" w:sz="4"/>
              <w:left w:val="single" w:color="922B21" w:sz="4"/>
              <w:bottom w:val="single" w:color="922B21" w:sz="4"/>
              <w:right w:val="single" w:color="922B21" w:sz="4"/>
            </w:tcBorders>
            <w:shd w:fill="922B21"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WITHIN 48 HOURS — Live Risk Actions</w:t>
            </w:r>
          </w:p>
        </w:tc>
      </w:tr>
      <w:tr>
        <w:tc>
          <w:tcPr>
            <w:tcW w:type="dxa" w:w="9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9"/>
                <w:szCs w:val="19"/>
              </w:rPr>
              <w:t xml:space="preserve">Direct the Head of Engineering to rotate the exposed AWS IAM access key pair immediately and review CloudTrail logs for the past 90 days for evidence of unauthorised usage.</w:t>
            </w:r>
          </w:p>
        </w:tc>
      </w:tr>
      <w:tr>
        <w:tc>
          <w:tcPr>
            <w:tcW w:type="dxa" w:w="9746"/>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9"/>
                <w:szCs w:val="19"/>
              </w:rPr>
              <w:t xml:space="preserve">Direct the Head of Engineering to regenerate the Twilio API token immediately and verify that patient SMS delivery remains operational.</w:t>
            </w:r>
          </w:p>
        </w:tc>
      </w:tr>
    </w:tbl>
    <w:p>
      <w:pPr>
        <w:spacing w:after="60" w:before="6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WITHIN 30 DAYS — Governance Appointments</w:t>
            </w:r>
          </w:p>
        </w:tc>
      </w:tr>
      <w:tr>
        <w:tc>
          <w:tcPr>
            <w:tcW w:type="dxa" w:w="9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9"/>
                <w:szCs w:val="19"/>
              </w:rPr>
              <w:t xml:space="preserve">Appoint a Data Protection Officer with the independence and expertise required by Articles 37–39 UK GDPR. This is a mandatory legal appointment, not a discretionary role. The CTO should not hold this role given the inherent conflict of interest with operational responsibilities.</w:t>
            </w:r>
          </w:p>
        </w:tc>
      </w:tr>
      <w:tr>
        <w:tc>
          <w:tcPr>
            <w:tcW w:type="dxa" w:w="9746"/>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9"/>
                <w:szCs w:val="19"/>
              </w:rPr>
              <w:t xml:space="preserve">Appoint a Grievance Officer under DPDP Act Section 13(3) and publish their contact details.</w:t>
            </w:r>
          </w:p>
        </w:tc>
      </w:tr>
      <w:tr>
        <w:tc>
          <w:tcPr>
            <w:tcW w:type="dxa" w:w="9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9"/>
                <w:szCs w:val="19"/>
              </w:rPr>
              <w:t xml:space="preserve">Formally approve the updated Information Security Policy. The draft policy requires Board or CEO-level sign-off and must be communicated to all staff.</w:t>
            </w:r>
          </w:p>
        </w:tc>
      </w:tr>
      <w:tr>
        <w:tc>
          <w:tcPr>
            <w:tcW w:type="dxa" w:w="9746"/>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9"/>
                <w:szCs w:val="19"/>
              </w:rPr>
              <w:t xml:space="preserve">Authorise the Legal function to initiate Data Processing Agreement negotiations with all three UK clinic clients as a priority commercial action.</w:t>
            </w:r>
          </w:p>
        </w:tc>
      </w:tr>
    </w:tbl>
    <w:p>
      <w:pPr>
        <w:spacing w:after="60" w:before="6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17A65" w:sz="4"/>
              <w:left w:val="single" w:color="117A65" w:sz="4"/>
              <w:bottom w:val="single" w:color="117A65" w:sz="4"/>
              <w:right w:val="single" w:color="117A65" w:sz="4"/>
            </w:tcBorders>
            <w:shd w:fill="117A65"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WITHIN 60 DAYS — Strategic Decisions</w:t>
            </w:r>
          </w:p>
        </w:tc>
      </w:tr>
      <w:tr>
        <w:tc>
          <w:tcPr>
            <w:tcW w:type="dxa" w:w="9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9"/>
                <w:szCs w:val="19"/>
              </w:rPr>
              <w:t xml:space="preserve">Allocate budget and resources for the full remediation programme (34 actions, July 2024 – June 2025). The programme spans engineering, legal, HR, and IT operations — cross-functional sponsorship is required.</w:t>
            </w:r>
          </w:p>
        </w:tc>
      </w:tr>
      <w:tr>
        <w:tc>
          <w:tcPr>
            <w:tcW w:type="dxa" w:w="9746"/>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9"/>
                <w:szCs w:val="19"/>
              </w:rPr>
              <w:t xml:space="preserve">Appoint an ISMS Owner — a named senior individual with accountability for the ISO 27001 programme and the authority to drive the remediation actions across the organisation.</w:t>
            </w:r>
          </w:p>
        </w:tc>
      </w:tr>
      <w:tr>
        <w:tc>
          <w:tcPr>
            <w:tcW w:type="dxa" w:w="9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9"/>
                <w:szCs w:val="19"/>
              </w:rPr>
              <w:t xml:space="preserve">Commission a qualified legal review of the dual-jurisdiction compliance architecture: consent framework design, retention schedule, and breach notification procedures. The Firm's findings identify the gaps; legal counsel must advise on the specific implementations.</w:t>
            </w:r>
          </w:p>
        </w:tc>
      </w:tr>
      <w:tr>
        <w:tc>
          <w:tcPr>
            <w:tcW w:type="dxa" w:w="9746"/>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9"/>
                <w:szCs w:val="19"/>
              </w:rPr>
              <w:t xml:space="preserve">Engage the Board on the DPDP Act consent mechanism redesign — this requires product changes to the patient-facing mobile application affecting all Indian patients, and carries commercial implications for the patient onboarding experience.</w:t>
            </w:r>
          </w:p>
        </w:tc>
      </w:tr>
    </w:tbl>
    <w:p>
      <w:pPr>
        <w:spacing w:after="60" w:before="6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6C3483" w:sz="4"/>
              <w:left w:val="single" w:color="6C3483" w:sz="4"/>
              <w:bottom w:val="single" w:color="6C3483" w:sz="4"/>
              <w:right w:val="single" w:color="6C3483" w:sz="4"/>
            </w:tcBorders>
            <w:shd w:fill="6C3483"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ONGOING — Programme Governance</w:t>
            </w:r>
          </w:p>
        </w:tc>
      </w:tr>
      <w:tr>
        <w:tc>
          <w:tcPr>
            <w:tcW w:type="dxa" w:w="9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9"/>
                <w:szCs w:val="19"/>
              </w:rPr>
              <w:t xml:space="preserve">Establish quarterly senior management IS reviews (per ISO 27001:2022 Clause 9.3) to track programme progress, review risk register updates, and make risk treatment decisions.</w:t>
            </w:r>
          </w:p>
        </w:tc>
      </w:tr>
      <w:tr>
        <w:tc>
          <w:tcPr>
            <w:tcW w:type="dxa" w:w="9746"/>
            <w:tcBorders>
              <w:top w:val="single" w:color="CCCCCC" w:sz="4"/>
              <w:left w:val="single" w:color="CCCCCC" w:sz="4"/>
              <w:bottom w:val="single" w:color="CCCCCC" w:sz="4"/>
              <w:right w:val="single" w:color="CCCCCC" w:sz="4"/>
            </w:tcBorders>
            <w:shd w:fill="E8DAE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9"/>
                <w:szCs w:val="19"/>
              </w:rPr>
              <w:t xml:space="preserve">Monitor the notification of DPDP Act implementing rules by MeitY — the rules will prescribe breach notification timelines, DPB procedures, and retention periods. The Legal function should brief the Board upon notification.</w:t>
            </w:r>
          </w:p>
        </w:tc>
      </w:tr>
      <w:tr>
        <w:tc>
          <w:tcPr>
            <w:tcW w:type="dxa" w:w="9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1A1A"/>
                <w:sz w:val="19"/>
                <w:szCs w:val="19"/>
              </w:rPr>
              <w:t xml:space="preserve">Target ISO 27001:2022 Stage 1 certification audit: Q2 2025 (10–14 months from this report), subject to successful completion of the remediation programme.</w:t>
            </w:r>
          </w:p>
        </w:tc>
      </w:tr>
    </w:tbl>
    <w:p>
      <w:pPr>
        <w:spacing w:after="80" w:before="80"/>
      </w:pPr>
      <w:r>
        <w:rPr>
          <w:rFonts w:ascii="Arial" w:cs="Arial" w:eastAsia="Arial" w:hAnsi="Arial"/>
          <w:b w:val="false"/>
          <w:bCs w:val="false"/>
          <w:i w:val="false"/>
          <w:iCs w:val="false"/>
          <w:color w:val="1A1A1A"/>
          <w:sz w:val="20"/>
          <w:szCs w:val="20"/>
        </w:rPr>
        <w:t xml:space="preserve"/>
      </w:r>
    </w:p>
    <w:p>
      <w:pPr>
        <w:pBdr>
          <w:bottom w:val="single" w:color="C8A951" w:sz="6" w:space="1"/>
        </w:pBdr>
        <w:spacing w:after="40" w:before="40"/>
      </w:pPr>
      <w:r>
        <w:rPr>
          <w:rFonts w:ascii="Arial" w:cs="Arial" w:eastAsia="Arial" w:hAnsi="Arial"/>
          <w:b w:val="false"/>
          <w:bCs w:val="false"/>
          <w:i w:val="false"/>
          <w:iCs w:val="false"/>
          <w:color w:val="1A1A1A"/>
          <w:sz w:val="20"/>
          <w:szCs w:val="20"/>
        </w:rPr>
        <w:t xml:space="preserve"/>
      </w:r>
    </w:p>
    <w:p>
      <w:pPr>
        <w:spacing w:after="60" w:before="60"/>
      </w:pPr>
      <w:r>
        <w:rPr>
          <w:rFonts w:ascii="Arial" w:cs="Arial" w:eastAsia="Arial" w:hAnsi="Arial"/>
          <w:b w:val="false"/>
          <w:bCs w:val="false"/>
          <w:i w:val="false"/>
          <w:iCs w:val="false"/>
          <w:color w:val="1A1A1A"/>
          <w:sz w:val="20"/>
          <w:szCs w:val="20"/>
        </w:rPr>
        <w:t xml:space="preserve"/>
      </w:r>
    </w:p>
    <w:p>
      <w:pPr>
        <w:spacing w:after="20" w:before="40"/>
        <w:jc w:val="center"/>
      </w:pPr>
      <w:r>
        <w:rPr>
          <w:rFonts w:ascii="Arial" w:cs="Arial" w:eastAsia="Arial" w:hAnsi="Arial"/>
          <w:b w:val="false"/>
          <w:bCs w:val="false"/>
          <w:i/>
          <w:iCs/>
          <w:color w:val="666666"/>
          <w:sz w:val="18"/>
          <w:szCs w:val="18"/>
        </w:rPr>
        <w:t xml:space="preserve">This Executive Summary was prepared by kay Shahbaaz, GRC Analyst, Resolute Compliance Advisory LLP. It reflects the findings of the compliance assessment engagement conducted between 10 March 2024 and 30 June 2024. Detailed findings and supporting evidence are contained in the full engagement deliverables (RCA-P2-001 through RCA-P2-007). This document does not constitute legal advice.</w:t>
      </w:r>
    </w:p>
    <w:p>
      <w:pPr>
        <w:spacing w:after="60" w:before="0"/>
        <w:jc w:val="center"/>
      </w:pPr>
      <w:r>
        <w:rPr>
          <w:rFonts w:ascii="Arial" w:cs="Arial" w:eastAsia="Arial" w:hAnsi="Arial"/>
          <w:b w:val="false"/>
          <w:bCs w:val="false"/>
          <w:i/>
          <w:iCs/>
          <w:color w:val="666666"/>
          <w:sz w:val="18"/>
          <w:szCs w:val="18"/>
        </w:rPr>
        <w:t xml:space="preserve">Document Reference: RCA-P2-008  ·  Version 1.0  ·  30 June 2024  ·  CONFIDENTIAL</w:t>
      </w:r>
    </w:p>
    <w:sectPr>
      <w:headerReference w:type="default" r:id="rId7"/>
      <w:footerReference w:type="default" r:id="rId8"/>
      <w:pgSz w:w="11906" w:h="16838" w:orient="portrait"/>
      <w:pgMar w:top="1280" w:right="1080" w:bottom="12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51" w:sz="6" w:space="1"/>
      </w:pBdr>
      <w:tabs>
        <w:tab w:val="right" w:pos="9026"/>
      </w:tabs>
      <w:spacing w:after="0" w:before="80"/>
    </w:pPr>
    <w:r>
      <w:rPr>
        <w:rFonts w:ascii="Arial" w:cs="Arial" w:eastAsia="Arial" w:hAnsi="Arial"/>
        <w:b w:val="false"/>
        <w:bCs w:val="false"/>
        <w:i w:val="false"/>
        <w:iCs w:val="false"/>
        <w:color w:val="666666"/>
        <w:sz w:val="16"/>
        <w:szCs w:val="16"/>
      </w:rPr>
      <w:t xml:space="preserve">Executive Summary  ·  Medlink India Pvt. Ltd.</w:t>
    </w:r>
    <w:r>
      <w:rPr>
        <w:rFonts w:ascii="Arial" w:cs="Arial" w:eastAsia="Arial" w:hAnsi="Arial"/>
        <w:b w:val="false"/>
        <w:bCs w:val="false"/>
        <w:i w:val="false"/>
        <w:iCs w:val="false"/>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tabs>
        <w:tab w:val="right" w:pos="9026"/>
      </w:tabs>
      <w:spacing w:after="80" w:before="0"/>
    </w:pPr>
    <w:r>
      <w:rPr>
        <w:rFonts w:ascii="Arial" w:cs="Arial" w:eastAsia="Arial" w:hAnsi="Arial"/>
        <w:b/>
        <w:bCs/>
        <w:i w:val="false"/>
        <w:iCs w:val="false"/>
        <w:color w:val="1B2A4A"/>
        <w:sz w:val="16"/>
        <w:szCs w:val="16"/>
      </w:rPr>
      <w:t xml:space="preserve">Resolute Compliance Advisory LLP</w:t>
    </w:r>
    <w:r>
      <w:rPr>
        <w:rFonts w:ascii="Arial" w:cs="Arial" w:eastAsia="Arial" w:hAnsi="Arial"/>
        <w:b w:val="false"/>
        <w:bCs w:val="false"/>
        <w:i w:val="false"/>
        <w:iCs w:val="false"/>
        <w:color w:val="1A1A1A"/>
        <w:sz w:val="16"/>
        <w:szCs w:val="16"/>
      </w:rPr>
      <w:t xml:space="preserve">	</w:t>
    </w:r>
    <w:r>
      <w:rPr>
        <w:rFonts w:ascii="Arial" w:cs="Arial" w:eastAsia="Arial" w:hAnsi="Arial"/>
        <w:b w:val="false"/>
        <w:bCs w:val="false"/>
        <w:i w:val="false"/>
        <w:iCs w:val="false"/>
        <w:color w:val="666666"/>
        <w:sz w:val="16"/>
        <w:szCs w:val="16"/>
      </w:rPr>
      <w:t xml:space="preserve">RCA-P2-008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2026-06-22T18:33:51.302Z</dcterms:created>
  <dcterms:modified xsi:type="dcterms:W3CDTF">2026-06-22T18:33:51.320Z</dcterms:modified>
</cp:coreProperties>
</file>

<file path=docProps/custom.xml><?xml version="1.0" encoding="utf-8"?>
<Properties xmlns="http://schemas.openxmlformats.org/officeDocument/2006/custom-properties" xmlns:vt="http://schemas.openxmlformats.org/officeDocument/2006/docPropsVTypes"/>
</file>